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4"/>
        <w:tblpPr w:leftFromText="180" w:rightFromText="180" w:vertAnchor="text" w:horzAnchor="margin" w:tblpXSpec="right" w:tblpY="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6"/>
        <w:gridCol w:w="1884"/>
      </w:tblGrid>
      <w:tr w14:paraId="52B4A622">
        <w:trPr>
          <w:trHeight w:val="315" w:hRule="atLeast"/>
        </w:trPr>
        <w:tc>
          <w:tcPr>
            <w:tcW w:w="1516" w:type="dxa"/>
          </w:tcPr>
          <w:p w14:paraId="542ECA8B">
            <w:pPr>
              <w:rPr>
                <w:rFonts w:hint="eastAsia" w:ascii="仿宋_GB2312" w:hAnsi="宋体" w:eastAsia="仿宋_GB2312"/>
                <w:sz w:val="28"/>
              </w:rPr>
            </w:pPr>
            <w:bookmarkStart w:id="0" w:name="OLE_LINK9"/>
            <w:bookmarkStart w:id="1" w:name="OLE_LINK10"/>
            <w:r>
              <w:rPr>
                <w:rFonts w:hint="eastAsia" w:ascii="仿宋_GB2312" w:hAnsi="宋体" w:eastAsia="仿宋_GB2312"/>
                <w:sz w:val="28"/>
              </w:rPr>
              <w:t>项目编号</w:t>
            </w:r>
          </w:p>
        </w:tc>
        <w:tc>
          <w:tcPr>
            <w:tcW w:w="1884" w:type="dxa"/>
          </w:tcPr>
          <w:p w14:paraId="221D222C">
            <w:pPr>
              <w:rPr>
                <w:rFonts w:hint="eastAsia" w:ascii="宋体" w:hAnsi="宋体"/>
                <w:sz w:val="28"/>
              </w:rPr>
            </w:pPr>
          </w:p>
        </w:tc>
      </w:tr>
    </w:tbl>
    <w:p w14:paraId="7756505F">
      <w:pPr>
        <w:pStyle w:val="13"/>
        <w:spacing w:before="0" w:beforeAutospacing="0" w:after="0" w:afterAutospacing="0"/>
        <w:rPr>
          <w:rFonts w:hint="eastAsia" w:ascii="仿宋_GB2312" w:eastAsia="仿宋_GB2312"/>
          <w:sz w:val="32"/>
          <w:szCs w:val="32"/>
        </w:rPr>
      </w:pPr>
    </w:p>
    <w:p w14:paraId="45564D8A">
      <w:pPr>
        <w:spacing w:after="624" w:afterLines="200"/>
        <w:jc w:val="left"/>
        <w:rPr>
          <w:rFonts w:hint="eastAsia" w:ascii="华文中宋" w:hAnsi="华文中宋" w:eastAsia="华文中宋"/>
          <w:b/>
          <w:sz w:val="48"/>
          <w:szCs w:val="48"/>
        </w:rPr>
      </w:pPr>
    </w:p>
    <w:p w14:paraId="1AE978E2">
      <w:pPr>
        <w:jc w:val="center"/>
        <w:rPr>
          <w:rFonts w:hint="eastAsia" w:ascii="方正粗宋简体" w:hAnsi="华文中宋" w:eastAsia="方正粗宋简体"/>
          <w:sz w:val="64"/>
          <w:szCs w:val="64"/>
        </w:rPr>
      </w:pPr>
      <w:r>
        <w:rPr>
          <w:rFonts w:hint="eastAsia" w:ascii="方正粗宋简体" w:hAnsi="华文中宋" w:eastAsia="方正粗宋简体"/>
          <w:sz w:val="64"/>
          <w:szCs w:val="64"/>
        </w:rPr>
        <w:t>华 东 理 工 大 学</w:t>
      </w:r>
    </w:p>
    <w:p w14:paraId="09CF301A">
      <w:pPr>
        <w:spacing w:before="468" w:beforeLines="150"/>
        <w:jc w:val="center"/>
        <w:rPr>
          <w:rFonts w:hint="eastAsia" w:ascii="华文楷体" w:hAnsi="华文楷体" w:eastAsia="华文楷体"/>
          <w:b/>
          <w:sz w:val="60"/>
          <w:szCs w:val="60"/>
        </w:rPr>
      </w:pPr>
      <w:r>
        <w:rPr>
          <w:rFonts w:hint="eastAsia" w:ascii="华文楷体" w:hAnsi="华文楷体" w:eastAsia="华文楷体"/>
          <w:b/>
          <w:sz w:val="56"/>
          <w:szCs w:val="48"/>
        </w:rPr>
        <w:t>大学生创新创业训练计划创新训练类</w:t>
      </w:r>
      <w:r>
        <w:rPr>
          <w:rFonts w:hint="eastAsia" w:ascii="华文楷体" w:hAnsi="华文楷体" w:eastAsia="华文楷体"/>
          <w:b/>
          <w:sz w:val="56"/>
          <w:szCs w:val="56"/>
        </w:rPr>
        <w:t>项目申报书</w:t>
      </w:r>
    </w:p>
    <w:p w14:paraId="6C74F92F">
      <w:pPr>
        <w:jc w:val="center"/>
        <w:rPr>
          <w:rFonts w:hint="eastAsia" w:ascii="华文中宋" w:hAnsi="华文中宋" w:eastAsia="华文中宋"/>
          <w:b/>
          <w:sz w:val="72"/>
          <w:szCs w:val="72"/>
        </w:rPr>
      </w:pPr>
    </w:p>
    <w:p w14:paraId="5E887290">
      <w:pPr>
        <w:ind w:firstLine="960" w:firstLineChars="300"/>
        <w:rPr>
          <w:rFonts w:ascii="黑体" w:eastAsia="黑体"/>
          <w:sz w:val="32"/>
          <w:szCs w:val="32"/>
        </w:rPr>
      </w:pPr>
    </w:p>
    <w:tbl>
      <w:tblPr>
        <w:tblStyle w:val="14"/>
        <w:tblW w:w="0" w:type="auto"/>
        <w:tblInd w:w="534" w:type="dxa"/>
        <w:tblLayout w:type="autofit"/>
        <w:tblCellMar>
          <w:top w:w="0" w:type="dxa"/>
          <w:left w:w="108" w:type="dxa"/>
          <w:bottom w:w="0" w:type="dxa"/>
          <w:right w:w="108" w:type="dxa"/>
        </w:tblCellMar>
      </w:tblPr>
      <w:tblGrid>
        <w:gridCol w:w="2835"/>
        <w:gridCol w:w="5917"/>
      </w:tblGrid>
      <w:tr w14:paraId="0606DFE2">
        <w:trPr>
          <w:trHeight w:val="737" w:hRule="exact"/>
        </w:trPr>
        <w:tc>
          <w:tcPr>
            <w:tcW w:w="2835" w:type="dxa"/>
            <w:vAlign w:val="center"/>
          </w:tcPr>
          <w:p w14:paraId="339FED22">
            <w:pPr>
              <w:jc w:val="left"/>
              <w:rPr>
                <w:rFonts w:ascii="黑体" w:eastAsia="黑体"/>
                <w:sz w:val="32"/>
                <w:szCs w:val="32"/>
              </w:rPr>
            </w:pPr>
            <w:r>
              <w:rPr>
                <w:rFonts w:hint="eastAsia" w:ascii="黑体" w:eastAsia="黑体"/>
                <w:sz w:val="32"/>
                <w:szCs w:val="32"/>
              </w:rPr>
              <w:t>项目名称</w:t>
            </w:r>
          </w:p>
        </w:tc>
        <w:tc>
          <w:tcPr>
            <w:tcW w:w="5917" w:type="dxa"/>
            <w:tcBorders>
              <w:bottom w:val="single" w:color="auto" w:sz="4" w:space="0"/>
            </w:tcBorders>
            <w:vAlign w:val="center"/>
          </w:tcPr>
          <w:p w14:paraId="1958FDA2">
            <w:pPr>
              <w:pStyle w:val="6"/>
              <w:spacing w:line="600" w:lineRule="exact"/>
              <w:ind w:firstLine="180" w:firstLineChars="100"/>
              <w:rPr>
                <w:rFonts w:ascii="仿宋_GB2312" w:eastAsia="仿宋_GB2312"/>
                <w:bCs w:val="0"/>
                <w:color w:val="000000"/>
                <w:sz w:val="18"/>
                <w:szCs w:val="18"/>
              </w:rPr>
            </w:pPr>
            <w:r>
              <w:rPr>
                <w:rFonts w:hint="eastAsia" w:ascii="仿宋_GB2312" w:eastAsia="仿宋_GB2312"/>
                <w:bCs w:val="0"/>
                <w:color w:val="000000"/>
                <w:sz w:val="18"/>
                <w:szCs w:val="18"/>
              </w:rPr>
              <w:t>结合虚拟现实感知决策系统的新能源电池厂事故预警处理一体化机器人研究</w:t>
            </w:r>
          </w:p>
        </w:tc>
      </w:tr>
      <w:tr w14:paraId="0C6EE2EB">
        <w:trPr>
          <w:trHeight w:val="737" w:hRule="exact"/>
        </w:trPr>
        <w:tc>
          <w:tcPr>
            <w:tcW w:w="2835" w:type="dxa"/>
            <w:vAlign w:val="center"/>
          </w:tcPr>
          <w:p w14:paraId="50C7A523">
            <w:pPr>
              <w:jc w:val="left"/>
              <w:rPr>
                <w:rFonts w:ascii="黑体" w:eastAsia="黑体"/>
                <w:sz w:val="32"/>
                <w:szCs w:val="32"/>
              </w:rPr>
            </w:pPr>
            <w:r>
              <w:rPr>
                <w:rFonts w:hint="eastAsia" w:ascii="黑体" w:eastAsia="黑体"/>
                <w:sz w:val="32"/>
                <w:szCs w:val="32"/>
              </w:rPr>
              <w:t>项目所属一级学科</w:t>
            </w:r>
          </w:p>
        </w:tc>
        <w:tc>
          <w:tcPr>
            <w:tcW w:w="5917" w:type="dxa"/>
            <w:tcBorders>
              <w:top w:val="single" w:color="auto" w:sz="4" w:space="0"/>
              <w:bottom w:val="single" w:color="auto" w:sz="4" w:space="0"/>
            </w:tcBorders>
            <w:vAlign w:val="center"/>
          </w:tcPr>
          <w:p w14:paraId="161706DC">
            <w:pPr>
              <w:pStyle w:val="6"/>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设计学</w:t>
            </w:r>
          </w:p>
        </w:tc>
      </w:tr>
      <w:tr w14:paraId="481CF458">
        <w:trPr>
          <w:trHeight w:val="737" w:hRule="exact"/>
        </w:trPr>
        <w:tc>
          <w:tcPr>
            <w:tcW w:w="2835" w:type="dxa"/>
            <w:vAlign w:val="center"/>
          </w:tcPr>
          <w:p w14:paraId="1503FF4E">
            <w:pPr>
              <w:jc w:val="left"/>
              <w:rPr>
                <w:rFonts w:ascii="黑体" w:eastAsia="黑体"/>
                <w:sz w:val="32"/>
                <w:szCs w:val="32"/>
              </w:rPr>
            </w:pPr>
            <w:r>
              <w:rPr>
                <w:rFonts w:hint="eastAsia" w:ascii="黑体" w:eastAsia="黑体"/>
                <w:sz w:val="32"/>
                <w:szCs w:val="32"/>
              </w:rPr>
              <w:t>项目负责人</w:t>
            </w:r>
          </w:p>
        </w:tc>
        <w:tc>
          <w:tcPr>
            <w:tcW w:w="5917" w:type="dxa"/>
            <w:tcBorders>
              <w:top w:val="single" w:color="auto" w:sz="4" w:space="0"/>
              <w:bottom w:val="single" w:color="auto" w:sz="4" w:space="0"/>
            </w:tcBorders>
            <w:vAlign w:val="center"/>
          </w:tcPr>
          <w:p w14:paraId="55661413">
            <w:pPr>
              <w:pStyle w:val="6"/>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罗翔</w:t>
            </w:r>
          </w:p>
        </w:tc>
      </w:tr>
      <w:tr w14:paraId="3C9276D3">
        <w:trPr>
          <w:trHeight w:val="737" w:hRule="exact"/>
        </w:trPr>
        <w:tc>
          <w:tcPr>
            <w:tcW w:w="2835" w:type="dxa"/>
            <w:vAlign w:val="center"/>
          </w:tcPr>
          <w:p w14:paraId="19D6ACD6">
            <w:pPr>
              <w:jc w:val="left"/>
              <w:rPr>
                <w:rFonts w:ascii="黑体" w:eastAsia="黑体"/>
                <w:sz w:val="32"/>
                <w:szCs w:val="32"/>
              </w:rPr>
            </w:pPr>
            <w:r>
              <w:rPr>
                <w:rFonts w:hint="eastAsia" w:ascii="黑体" w:eastAsia="黑体"/>
                <w:sz w:val="32"/>
                <w:szCs w:val="32"/>
              </w:rPr>
              <w:t>项目组成员</w:t>
            </w:r>
          </w:p>
        </w:tc>
        <w:tc>
          <w:tcPr>
            <w:tcW w:w="5917" w:type="dxa"/>
            <w:tcBorders>
              <w:top w:val="single" w:color="auto" w:sz="4" w:space="0"/>
              <w:bottom w:val="single" w:color="auto" w:sz="4" w:space="0"/>
            </w:tcBorders>
            <w:vAlign w:val="center"/>
          </w:tcPr>
          <w:p w14:paraId="5BB1518D">
            <w:pPr>
              <w:pStyle w:val="6"/>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王启华、李呈悦</w:t>
            </w:r>
          </w:p>
        </w:tc>
      </w:tr>
      <w:tr w14:paraId="753F7BDB">
        <w:trPr>
          <w:trHeight w:val="737" w:hRule="exact"/>
        </w:trPr>
        <w:tc>
          <w:tcPr>
            <w:tcW w:w="2835" w:type="dxa"/>
            <w:vAlign w:val="center"/>
          </w:tcPr>
          <w:p w14:paraId="59E54602">
            <w:pPr>
              <w:jc w:val="left"/>
              <w:rPr>
                <w:rFonts w:ascii="黑体" w:eastAsia="黑体"/>
                <w:sz w:val="32"/>
                <w:szCs w:val="32"/>
              </w:rPr>
            </w:pPr>
            <w:r>
              <w:rPr>
                <w:rFonts w:hint="eastAsia" w:ascii="黑体" w:eastAsia="黑体"/>
                <w:sz w:val="32"/>
                <w:szCs w:val="32"/>
              </w:rPr>
              <w:t>指导教师</w:t>
            </w:r>
          </w:p>
        </w:tc>
        <w:tc>
          <w:tcPr>
            <w:tcW w:w="5917" w:type="dxa"/>
            <w:tcBorders>
              <w:top w:val="single" w:color="auto" w:sz="4" w:space="0"/>
              <w:bottom w:val="single" w:color="auto" w:sz="4" w:space="0"/>
            </w:tcBorders>
            <w:vAlign w:val="center"/>
          </w:tcPr>
          <w:p w14:paraId="4BBB8DE6">
            <w:pPr>
              <w:pStyle w:val="6"/>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赵畅</w:t>
            </w:r>
          </w:p>
        </w:tc>
      </w:tr>
      <w:tr w14:paraId="11F4103D">
        <w:trPr>
          <w:trHeight w:val="737" w:hRule="exact"/>
        </w:trPr>
        <w:tc>
          <w:tcPr>
            <w:tcW w:w="2835" w:type="dxa"/>
            <w:vAlign w:val="center"/>
          </w:tcPr>
          <w:p w14:paraId="1F7F6F74">
            <w:pPr>
              <w:jc w:val="left"/>
              <w:rPr>
                <w:rFonts w:ascii="黑体" w:eastAsia="黑体"/>
                <w:sz w:val="32"/>
                <w:szCs w:val="32"/>
              </w:rPr>
            </w:pPr>
            <w:r>
              <w:rPr>
                <w:rFonts w:hint="eastAsia" w:ascii="黑体" w:eastAsia="黑体"/>
                <w:sz w:val="32"/>
                <w:szCs w:val="32"/>
              </w:rPr>
              <w:t>所在学院</w:t>
            </w:r>
          </w:p>
        </w:tc>
        <w:tc>
          <w:tcPr>
            <w:tcW w:w="5917" w:type="dxa"/>
            <w:tcBorders>
              <w:top w:val="single" w:color="auto" w:sz="4" w:space="0"/>
              <w:bottom w:val="single" w:color="auto" w:sz="4" w:space="0"/>
            </w:tcBorders>
            <w:vAlign w:val="center"/>
          </w:tcPr>
          <w:p w14:paraId="76E38862">
            <w:pPr>
              <w:pStyle w:val="6"/>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艺术设计与传媒学院</w:t>
            </w:r>
          </w:p>
        </w:tc>
      </w:tr>
      <w:tr w14:paraId="38C5D1ED">
        <w:trPr>
          <w:trHeight w:val="737" w:hRule="exact"/>
        </w:trPr>
        <w:tc>
          <w:tcPr>
            <w:tcW w:w="2835" w:type="dxa"/>
            <w:vAlign w:val="center"/>
          </w:tcPr>
          <w:p w14:paraId="5B1FB8B8">
            <w:pPr>
              <w:jc w:val="left"/>
              <w:rPr>
                <w:rFonts w:ascii="黑体" w:eastAsia="黑体"/>
                <w:sz w:val="32"/>
                <w:szCs w:val="32"/>
              </w:rPr>
            </w:pPr>
            <w:r>
              <w:rPr>
                <w:rFonts w:hint="eastAsia" w:ascii="黑体" w:eastAsia="黑体"/>
                <w:sz w:val="32"/>
                <w:szCs w:val="32"/>
              </w:rPr>
              <w:t>填报日期</w:t>
            </w:r>
          </w:p>
        </w:tc>
        <w:tc>
          <w:tcPr>
            <w:tcW w:w="5917" w:type="dxa"/>
            <w:tcBorders>
              <w:top w:val="single" w:color="auto" w:sz="4" w:space="0"/>
              <w:bottom w:val="single" w:color="auto" w:sz="4" w:space="0"/>
            </w:tcBorders>
            <w:vAlign w:val="center"/>
          </w:tcPr>
          <w:p w14:paraId="6AFE4C66">
            <w:pPr>
              <w:pStyle w:val="6"/>
              <w:spacing w:line="600" w:lineRule="exact"/>
              <w:ind w:firstLine="640" w:firstLineChars="200"/>
              <w:jc w:val="center"/>
              <w:rPr>
                <w:rFonts w:ascii="仿宋_GB2312" w:eastAsia="仿宋_GB2312"/>
                <w:bCs w:val="0"/>
                <w:color w:val="000000"/>
                <w:sz w:val="32"/>
                <w:szCs w:val="32"/>
              </w:rPr>
            </w:pPr>
            <w:r>
              <w:rPr>
                <w:rFonts w:hint="eastAsia" w:ascii="仿宋_GB2312" w:eastAsia="仿宋_GB2312"/>
                <w:bCs w:val="0"/>
                <w:color w:val="000000"/>
                <w:sz w:val="32"/>
                <w:szCs w:val="32"/>
              </w:rPr>
              <w:t>2025年10月26日</w:t>
            </w:r>
          </w:p>
        </w:tc>
      </w:tr>
    </w:tbl>
    <w:p w14:paraId="18134818">
      <w:pPr>
        <w:ind w:firstLine="960" w:firstLineChars="300"/>
        <w:rPr>
          <w:rFonts w:ascii="黑体" w:eastAsia="黑体"/>
          <w:sz w:val="32"/>
          <w:szCs w:val="32"/>
        </w:rPr>
      </w:pPr>
    </w:p>
    <w:p w14:paraId="36C16FC6">
      <w:pPr>
        <w:jc w:val="center"/>
        <w:rPr>
          <w:rFonts w:hint="eastAsia" w:ascii="宋体" w:hAnsi="宋体" w:eastAsia="楷体_GB2312"/>
          <w:b/>
          <w:sz w:val="32"/>
        </w:rPr>
      </w:pPr>
      <w:r>
        <w:rPr>
          <w:rFonts w:hint="eastAsia" w:ascii="宋体" w:hAnsi="宋体" w:eastAsia="楷体_GB2312"/>
          <w:b/>
          <w:sz w:val="32"/>
        </w:rPr>
        <w:t>华东理工大学创新创业学院制表</w:t>
      </w:r>
    </w:p>
    <w:p w14:paraId="35E9DB78">
      <w:pPr>
        <w:spacing w:line="500" w:lineRule="exact"/>
        <w:jc w:val="center"/>
        <w:rPr>
          <w:rFonts w:eastAsia="黑体"/>
          <w:spacing w:val="32"/>
          <w:sz w:val="36"/>
        </w:rPr>
      </w:pPr>
    </w:p>
    <w:p w14:paraId="67954A95">
      <w:pPr>
        <w:spacing w:line="500" w:lineRule="exact"/>
        <w:jc w:val="center"/>
        <w:rPr>
          <w:rFonts w:eastAsia="黑体"/>
          <w:spacing w:val="32"/>
          <w:sz w:val="36"/>
        </w:rPr>
      </w:pPr>
      <w:r>
        <w:rPr>
          <w:rFonts w:hint="eastAsia" w:eastAsia="黑体"/>
          <w:spacing w:val="32"/>
          <w:sz w:val="36"/>
        </w:rPr>
        <w:t>填表说明</w:t>
      </w:r>
    </w:p>
    <w:p w14:paraId="655B149D">
      <w:pPr>
        <w:spacing w:line="500" w:lineRule="exact"/>
        <w:jc w:val="center"/>
        <w:rPr>
          <w:rFonts w:eastAsia="黑体"/>
          <w:sz w:val="36"/>
        </w:rPr>
      </w:pPr>
    </w:p>
    <w:p w14:paraId="7232A6BF">
      <w:pPr>
        <w:spacing w:line="500" w:lineRule="exact"/>
        <w:jc w:val="center"/>
        <w:rPr>
          <w:rFonts w:eastAsia="黑体"/>
          <w:sz w:val="36"/>
        </w:rPr>
      </w:pPr>
    </w:p>
    <w:p w14:paraId="1C33D3D1">
      <w:pPr>
        <w:spacing w:line="360" w:lineRule="auto"/>
        <w:ind w:firstLine="537" w:firstLineChars="168"/>
        <w:rPr>
          <w:rFonts w:ascii="仿宋_GB2312" w:eastAsia="仿宋_GB2312"/>
          <w:sz w:val="28"/>
        </w:rPr>
      </w:pPr>
      <w:r>
        <w:rPr>
          <w:rFonts w:hint="eastAsia" w:ascii="仿宋_GB2312" w:eastAsia="仿宋_GB2312"/>
          <w:sz w:val="32"/>
          <w:szCs w:val="32"/>
        </w:rPr>
        <w:t>一、</w:t>
      </w:r>
      <w:r>
        <w:rPr>
          <w:rFonts w:hint="eastAsia" w:ascii="仿宋_GB2312" w:eastAsia="仿宋_GB2312"/>
          <w:sz w:val="28"/>
        </w:rPr>
        <w:t>本表要求按顺序逐项填写，项目要实事求是，讲究诚信，不能有雷同，表达要明确、严谨。空缺项要填“无”。一律用A4纸打印，于左侧装订成册。</w:t>
      </w:r>
    </w:p>
    <w:p w14:paraId="0B51B818">
      <w:pPr>
        <w:spacing w:line="360" w:lineRule="auto"/>
        <w:ind w:firstLine="470" w:firstLineChars="168"/>
        <w:rPr>
          <w:rFonts w:ascii="仿宋_GB2312" w:eastAsia="仿宋_GB2312"/>
          <w:sz w:val="28"/>
        </w:rPr>
      </w:pPr>
      <w:r>
        <w:rPr>
          <w:rFonts w:hint="eastAsia" w:ascii="仿宋_GB2312" w:eastAsia="仿宋_GB2312"/>
          <w:sz w:val="28"/>
        </w:rPr>
        <w:t>二、申请参加本项目团队人数不得超过4人（1人为立项负责人，参与合作研究者1-3人）。</w:t>
      </w:r>
    </w:p>
    <w:p w14:paraId="591028EA">
      <w:pPr>
        <w:spacing w:line="360" w:lineRule="auto"/>
        <w:ind w:firstLine="470" w:firstLineChars="168"/>
        <w:rPr>
          <w:rFonts w:ascii="仿宋_GB2312" w:eastAsia="仿宋_GB2312"/>
          <w:sz w:val="28"/>
        </w:rPr>
      </w:pPr>
      <w:r>
        <w:rPr>
          <w:rFonts w:hint="eastAsia" w:ascii="仿宋_GB2312" w:eastAsia="仿宋_GB2312"/>
          <w:sz w:val="28"/>
        </w:rPr>
        <w:t>三、申请参加本项目的个人或团队必须聘请教师作为项目指导教师，并请指导教师在申请书上签名。</w:t>
      </w:r>
    </w:p>
    <w:p w14:paraId="5BFE7BB0">
      <w:pPr>
        <w:spacing w:line="360" w:lineRule="auto"/>
        <w:ind w:firstLine="470" w:firstLineChars="168"/>
        <w:rPr>
          <w:rFonts w:ascii="仿宋_GB2312" w:eastAsia="仿宋_GB2312"/>
          <w:sz w:val="28"/>
        </w:rPr>
      </w:pPr>
      <w:r>
        <w:rPr>
          <w:rFonts w:hint="eastAsia" w:ascii="仿宋_GB2312" w:eastAsia="仿宋_GB2312"/>
          <w:sz w:val="28"/>
        </w:rPr>
        <w:t>四、项目执行周期一般为1年。</w:t>
      </w:r>
    </w:p>
    <w:p w14:paraId="4CDBF13E">
      <w:pPr>
        <w:spacing w:line="360" w:lineRule="auto"/>
        <w:ind w:firstLine="470" w:firstLineChars="168"/>
        <w:rPr>
          <w:rFonts w:ascii="仿宋_GB2312" w:eastAsia="仿宋_GB2312"/>
          <w:sz w:val="28"/>
        </w:rPr>
      </w:pPr>
      <w:r>
        <w:rPr>
          <w:rFonts w:hint="eastAsia" w:ascii="仿宋_GB2312" w:eastAsia="仿宋_GB2312"/>
          <w:sz w:val="28"/>
        </w:rPr>
        <w:t>五、本表由指导教师所在院系初审，签署意见后，由学院统一保存。</w:t>
      </w:r>
    </w:p>
    <w:p w14:paraId="2CC2BD5A">
      <w:pPr>
        <w:ind w:firstLine="506" w:firstLineChars="168"/>
        <w:jc w:val="left"/>
        <w:rPr>
          <w:rFonts w:ascii="仿宋_GB2312" w:eastAsia="仿宋_GB2312"/>
          <w:b/>
          <w:color w:val="000000"/>
          <w:sz w:val="30"/>
          <w:szCs w:val="30"/>
        </w:rPr>
      </w:pPr>
    </w:p>
    <w:p w14:paraId="45E6F9C4">
      <w:pPr>
        <w:ind w:firstLine="3162" w:firstLineChars="1050"/>
        <w:rPr>
          <w:rFonts w:ascii="仿宋_GB2312" w:eastAsia="仿宋_GB2312"/>
          <w:b/>
          <w:color w:val="000000"/>
          <w:sz w:val="30"/>
          <w:szCs w:val="30"/>
        </w:rPr>
      </w:pPr>
    </w:p>
    <w:p w14:paraId="4908A666">
      <w:pPr>
        <w:ind w:firstLine="3162" w:firstLineChars="1050"/>
        <w:rPr>
          <w:rFonts w:ascii="仿宋_GB2312" w:eastAsia="仿宋_GB2312"/>
          <w:b/>
          <w:color w:val="000000"/>
          <w:sz w:val="30"/>
          <w:szCs w:val="30"/>
        </w:rPr>
      </w:pPr>
    </w:p>
    <w:p w14:paraId="6BE47ADB">
      <w:pPr>
        <w:spacing w:before="312" w:beforeLines="100" w:after="312" w:afterLines="100"/>
        <w:rPr>
          <w:b/>
          <w:sz w:val="32"/>
          <w:szCs w:val="32"/>
        </w:rPr>
      </w:pPr>
    </w:p>
    <w:p w14:paraId="374A21AA">
      <w:pPr>
        <w:spacing w:before="312" w:beforeLines="100" w:after="156" w:afterLines="50"/>
        <w:rPr>
          <w:sz w:val="32"/>
          <w:szCs w:val="32"/>
        </w:rPr>
      </w:pPr>
      <w:r>
        <w:rPr>
          <w:b/>
          <w:sz w:val="32"/>
          <w:szCs w:val="32"/>
        </w:rPr>
        <w:br w:type="page"/>
      </w:r>
      <w:r>
        <w:rPr>
          <w:rFonts w:hint="eastAsia"/>
          <w:b/>
          <w:sz w:val="32"/>
          <w:szCs w:val="32"/>
        </w:rPr>
        <w:t>一、项目基本情况</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708"/>
        <w:gridCol w:w="400"/>
        <w:gridCol w:w="264"/>
        <w:gridCol w:w="850"/>
        <w:gridCol w:w="1134"/>
        <w:gridCol w:w="567"/>
        <w:gridCol w:w="851"/>
        <w:gridCol w:w="709"/>
        <w:gridCol w:w="283"/>
        <w:gridCol w:w="1276"/>
        <w:gridCol w:w="19"/>
        <w:gridCol w:w="2397"/>
      </w:tblGrid>
      <w:tr w14:paraId="0636EAA0">
        <w:trPr>
          <w:cantSplit/>
          <w:trHeight w:val="754" w:hRule="atLeast"/>
          <w:jc w:val="center"/>
        </w:trPr>
        <w:tc>
          <w:tcPr>
            <w:tcW w:w="1189" w:type="dxa"/>
            <w:gridSpan w:val="2"/>
            <w:vAlign w:val="bottom"/>
          </w:tcPr>
          <w:p w14:paraId="31FA4535">
            <w:pPr>
              <w:spacing w:line="480" w:lineRule="auto"/>
              <w:jc w:val="center"/>
              <w:rPr>
                <w:sz w:val="22"/>
              </w:rPr>
            </w:pPr>
            <w:r>
              <w:rPr>
                <w:rFonts w:hint="eastAsia"/>
                <w:sz w:val="22"/>
              </w:rPr>
              <w:t>项目名称</w:t>
            </w:r>
          </w:p>
        </w:tc>
        <w:tc>
          <w:tcPr>
            <w:tcW w:w="8750" w:type="dxa"/>
            <w:gridSpan w:val="11"/>
            <w:vAlign w:val="center"/>
          </w:tcPr>
          <w:p w14:paraId="693DE2E9">
            <w:pPr>
              <w:jc w:val="center"/>
              <w:rPr>
                <w:rFonts w:ascii="仿宋_GB2312" w:eastAsia="仿宋_GB2312"/>
                <w:sz w:val="22"/>
                <w:szCs w:val="22"/>
              </w:rPr>
            </w:pPr>
            <w:r>
              <w:rPr>
                <w:rFonts w:hint="eastAsia" w:ascii="仿宋_GB2312" w:eastAsia="仿宋_GB2312"/>
                <w:bCs/>
                <w:color w:val="000000"/>
                <w:sz w:val="18"/>
                <w:szCs w:val="18"/>
              </w:rPr>
              <w:t>结合虚拟现实感知决策系统的新能源电池厂事故预警处理一体化机器人研究</w:t>
            </w:r>
          </w:p>
        </w:tc>
      </w:tr>
      <w:tr w14:paraId="198F34DF">
        <w:trPr>
          <w:cantSplit/>
          <w:trHeight w:val="846" w:hRule="atLeast"/>
          <w:jc w:val="center"/>
        </w:trPr>
        <w:tc>
          <w:tcPr>
            <w:tcW w:w="7523" w:type="dxa"/>
            <w:gridSpan w:val="11"/>
            <w:vAlign w:val="center"/>
          </w:tcPr>
          <w:p w14:paraId="03D3B7C6">
            <w:pPr>
              <w:jc w:val="left"/>
              <w:rPr>
                <w:sz w:val="22"/>
              </w:rPr>
            </w:pPr>
            <w:r>
              <w:rPr>
                <w:rFonts w:hint="eastAsia"/>
                <w:sz w:val="22"/>
              </w:rPr>
              <w:t>项目所属一级学科（可以是一种或多种跨学科）</w:t>
            </w:r>
          </w:p>
        </w:tc>
        <w:tc>
          <w:tcPr>
            <w:tcW w:w="2416" w:type="dxa"/>
            <w:gridSpan w:val="2"/>
            <w:vAlign w:val="center"/>
          </w:tcPr>
          <w:p w14:paraId="6C3DCA85">
            <w:pPr>
              <w:rPr>
                <w:sz w:val="22"/>
              </w:rPr>
            </w:pPr>
            <w:r>
              <w:rPr>
                <w:rFonts w:hint="eastAsia"/>
                <w:sz w:val="22"/>
              </w:rPr>
              <w:t>设计学</w:t>
            </w:r>
          </w:p>
        </w:tc>
      </w:tr>
      <w:tr w14:paraId="020DEF2A">
        <w:trPr>
          <w:cantSplit/>
          <w:trHeight w:val="551" w:hRule="atLeast"/>
          <w:jc w:val="center"/>
        </w:trPr>
        <w:tc>
          <w:tcPr>
            <w:tcW w:w="1189" w:type="dxa"/>
            <w:gridSpan w:val="2"/>
            <w:vMerge w:val="restart"/>
            <w:vAlign w:val="center"/>
          </w:tcPr>
          <w:p w14:paraId="25EC1FDC">
            <w:pPr>
              <w:jc w:val="center"/>
              <w:rPr>
                <w:sz w:val="22"/>
                <w:szCs w:val="21"/>
              </w:rPr>
            </w:pPr>
            <w:r>
              <w:rPr>
                <w:rFonts w:hint="eastAsia"/>
                <w:sz w:val="22"/>
                <w:szCs w:val="21"/>
              </w:rPr>
              <w:t>项目来源</w:t>
            </w:r>
          </w:p>
        </w:tc>
        <w:tc>
          <w:tcPr>
            <w:tcW w:w="8750" w:type="dxa"/>
            <w:gridSpan w:val="11"/>
            <w:vAlign w:val="center"/>
          </w:tcPr>
          <w:p w14:paraId="6E8F1462">
            <w:pPr>
              <w:jc w:val="left"/>
              <w:rPr>
                <w:szCs w:val="21"/>
              </w:rPr>
            </w:pPr>
            <w:r>
              <w:rPr>
                <w:rFonts w:hint="eastAsia" w:ascii="GulimChe" w:hAnsi="GulimChe" w:eastAsia="GulimChe"/>
                <w:sz w:val="22"/>
                <w:szCs w:val="22"/>
              </w:rPr>
              <w:sym w:font="Wingdings 2" w:char="F052"/>
            </w:r>
            <w:r>
              <w:rPr>
                <w:rFonts w:hint="eastAsia" w:ascii="GulimChe" w:hAnsi="GulimChe"/>
                <w:sz w:val="22"/>
                <w:szCs w:val="22"/>
              </w:rPr>
              <w:t xml:space="preserve">学生自选课题           </w:t>
            </w:r>
            <w:r>
              <w:rPr>
                <w:rFonts w:hint="eastAsia" w:ascii="GulimChe" w:hAnsi="GulimChe" w:eastAsia="GulimChe"/>
                <w:sz w:val="22"/>
                <w:szCs w:val="22"/>
              </w:rPr>
              <w:t>□</w:t>
            </w:r>
            <w:r>
              <w:rPr>
                <w:rFonts w:hint="eastAsia" w:ascii="GulimChe" w:hAnsi="GulimChe"/>
                <w:sz w:val="22"/>
                <w:szCs w:val="22"/>
              </w:rPr>
              <w:t xml:space="preserve">导师科研项目    </w:t>
            </w:r>
          </w:p>
        </w:tc>
      </w:tr>
      <w:tr w14:paraId="31ECDC15">
        <w:trPr>
          <w:cantSplit/>
          <w:trHeight w:val="998" w:hRule="atLeast"/>
          <w:jc w:val="center"/>
        </w:trPr>
        <w:tc>
          <w:tcPr>
            <w:tcW w:w="1189" w:type="dxa"/>
            <w:gridSpan w:val="2"/>
            <w:vMerge w:val="continue"/>
            <w:vAlign w:val="center"/>
          </w:tcPr>
          <w:p w14:paraId="6B9CBF99">
            <w:pPr>
              <w:jc w:val="center"/>
              <w:rPr>
                <w:sz w:val="22"/>
                <w:szCs w:val="21"/>
              </w:rPr>
            </w:pPr>
          </w:p>
        </w:tc>
        <w:tc>
          <w:tcPr>
            <w:tcW w:w="8750" w:type="dxa"/>
            <w:gridSpan w:val="11"/>
            <w:vAlign w:val="center"/>
          </w:tcPr>
          <w:p w14:paraId="776F4A44">
            <w:pPr>
              <w:jc w:val="left"/>
              <w:rPr>
                <w:rFonts w:hint="eastAsia" w:ascii="GulimChe" w:hAnsi="GulimChe"/>
                <w:sz w:val="22"/>
                <w:szCs w:val="22"/>
              </w:rPr>
            </w:pPr>
            <w:r>
              <w:rPr>
                <w:rFonts w:hint="eastAsia" w:ascii="GulimChe" w:hAnsi="GulimChe" w:eastAsia="GulimChe"/>
                <w:sz w:val="22"/>
                <w:szCs w:val="22"/>
              </w:rPr>
              <w:sym w:font="Wingdings 2" w:char="F052"/>
            </w:r>
            <w:r>
              <w:rPr>
                <w:rFonts w:hint="eastAsia" w:ascii="GulimChe" w:hAnsi="GulimChe"/>
                <w:sz w:val="22"/>
                <w:szCs w:val="22"/>
              </w:rPr>
              <w:t xml:space="preserve">与专业实践相关         </w:t>
            </w:r>
            <w:r>
              <w:rPr>
                <w:rFonts w:hint="eastAsia" w:ascii="GulimChe" w:hAnsi="GulimChe" w:eastAsia="GulimChe"/>
                <w:sz w:val="22"/>
                <w:szCs w:val="22"/>
              </w:rPr>
              <w:t>□</w:t>
            </w:r>
            <w:r>
              <w:rPr>
                <w:rFonts w:hint="eastAsia" w:ascii="GulimChe" w:hAnsi="GulimChe"/>
                <w:sz w:val="22"/>
                <w:szCs w:val="22"/>
              </w:rPr>
              <w:t xml:space="preserve"> 与课程设计相关</w:t>
            </w:r>
          </w:p>
          <w:p w14:paraId="03810306">
            <w:pPr>
              <w:spacing w:line="360" w:lineRule="auto"/>
              <w:jc w:val="left"/>
              <w:rPr>
                <w:rFonts w:hint="eastAsia" w:ascii="GulimChe" w:hAnsi="GulimChe"/>
                <w:sz w:val="22"/>
                <w:szCs w:val="22"/>
              </w:rPr>
            </w:pPr>
            <w:r>
              <w:rPr>
                <w:rFonts w:hAnsi="GulimChe"/>
                <w:sz w:val="22"/>
                <w:szCs w:val="22"/>
              </w:rPr>
              <w:t>是否以</w:t>
            </w:r>
            <w:r>
              <w:rPr>
                <w:sz w:val="22"/>
                <w:szCs w:val="22"/>
              </w:rPr>
              <w:t>USRP</w:t>
            </w:r>
            <w:r>
              <w:rPr>
                <w:rFonts w:hint="eastAsia"/>
                <w:sz w:val="22"/>
                <w:szCs w:val="22"/>
              </w:rPr>
              <w:t xml:space="preserve">课题为基础  </w:t>
            </w:r>
            <w:r>
              <w:rPr>
                <w:rFonts w:hint="eastAsia" w:ascii="GulimChe" w:hAnsi="GulimChe" w:eastAsia="GulimChe"/>
                <w:sz w:val="22"/>
                <w:szCs w:val="22"/>
              </w:rPr>
              <w:t>□</w:t>
            </w:r>
            <w:r>
              <w:rPr>
                <w:rFonts w:hint="eastAsia" w:ascii="GulimChe" w:hAnsi="GulimChe"/>
                <w:sz w:val="22"/>
                <w:szCs w:val="22"/>
              </w:rPr>
              <w:t xml:space="preserve">是 </w:t>
            </w:r>
            <w:r>
              <w:rPr>
                <w:rFonts w:hint="eastAsia" w:ascii="GulimChe" w:hAnsi="GulimChe" w:eastAsia="GulimChe"/>
                <w:sz w:val="22"/>
                <w:szCs w:val="22"/>
              </w:rPr>
              <w:sym w:font="Wingdings 2" w:char="F052"/>
            </w:r>
            <w:r>
              <w:rPr>
                <w:rFonts w:hint="eastAsia" w:ascii="GulimChe" w:hAnsi="GulimChe"/>
                <w:sz w:val="22"/>
                <w:szCs w:val="22"/>
              </w:rPr>
              <w:t>否  如果是，请填写</w:t>
            </w:r>
            <w:r>
              <w:rPr>
                <w:rFonts w:hint="eastAsia"/>
                <w:sz w:val="22"/>
                <w:szCs w:val="22"/>
              </w:rPr>
              <w:t>USRP课题名称：</w:t>
            </w:r>
          </w:p>
          <w:p w14:paraId="075DBB73">
            <w:pPr>
              <w:spacing w:before="156" w:beforeLines="50"/>
              <w:ind w:left="210" w:leftChars="100" w:firstLine="440" w:firstLineChars="200"/>
              <w:jc w:val="left"/>
              <w:rPr>
                <w:rFonts w:hint="eastAsia" w:ascii="GulimChe" w:hAnsi="GulimChe" w:eastAsia="GulimChe"/>
                <w:sz w:val="22"/>
                <w:szCs w:val="22"/>
              </w:rPr>
            </w:pPr>
          </w:p>
        </w:tc>
      </w:tr>
      <w:tr w14:paraId="6675F5E5">
        <w:trPr>
          <w:cantSplit/>
          <w:trHeight w:val="1052" w:hRule="atLeast"/>
          <w:jc w:val="center"/>
        </w:trPr>
        <w:tc>
          <w:tcPr>
            <w:tcW w:w="1189" w:type="dxa"/>
            <w:gridSpan w:val="2"/>
            <w:vAlign w:val="center"/>
          </w:tcPr>
          <w:p w14:paraId="66C3D909">
            <w:pPr>
              <w:jc w:val="center"/>
              <w:rPr>
                <w:sz w:val="22"/>
                <w:szCs w:val="21"/>
              </w:rPr>
            </w:pPr>
            <w:r>
              <w:rPr>
                <w:rFonts w:hint="eastAsia"/>
                <w:sz w:val="22"/>
                <w:szCs w:val="21"/>
              </w:rPr>
              <w:t>成果导向</w:t>
            </w:r>
          </w:p>
        </w:tc>
        <w:tc>
          <w:tcPr>
            <w:tcW w:w="8750" w:type="dxa"/>
            <w:gridSpan w:val="11"/>
            <w:vAlign w:val="center"/>
          </w:tcPr>
          <w:p w14:paraId="026A0C15">
            <w:pPr>
              <w:spacing w:line="480" w:lineRule="auto"/>
              <w:jc w:val="left"/>
              <w:rPr>
                <w:rFonts w:hint="eastAsia" w:ascii="宋体" w:hAnsi="宋体"/>
                <w:sz w:val="22"/>
                <w:szCs w:val="22"/>
              </w:rPr>
            </w:pPr>
            <w:r>
              <w:rPr>
                <w:rFonts w:hint="eastAsia" w:ascii="宋体" w:hAnsi="宋体"/>
                <w:sz w:val="22"/>
                <w:szCs w:val="22"/>
              </w:rPr>
              <w:t>□以</w:t>
            </w:r>
            <w:r>
              <w:rPr>
                <w:rFonts w:hint="eastAsia" w:ascii="宋体" w:hAnsi="宋体" w:cs="微软雅黑"/>
                <w:sz w:val="22"/>
                <w:szCs w:val="22"/>
              </w:rPr>
              <w:t>参与科创竞赛为导向</w:t>
            </w:r>
            <w:r>
              <w:rPr>
                <w:rFonts w:hint="eastAsia" w:ascii="宋体" w:hAnsi="宋体"/>
                <w:sz w:val="22"/>
                <w:szCs w:val="22"/>
              </w:rPr>
              <w:t>，请填写竞赛名称：</w:t>
            </w:r>
          </w:p>
          <w:p w14:paraId="395E44FD">
            <w:pPr>
              <w:spacing w:line="480" w:lineRule="auto"/>
              <w:jc w:val="left"/>
              <w:rPr>
                <w:rFonts w:hint="eastAsia" w:ascii="宋体" w:hAnsi="宋体"/>
                <w:sz w:val="22"/>
                <w:szCs w:val="22"/>
              </w:rPr>
            </w:pPr>
          </w:p>
          <w:p w14:paraId="70898310">
            <w:pPr>
              <w:spacing w:line="480" w:lineRule="auto"/>
              <w:jc w:val="left"/>
              <w:rPr>
                <w:rFonts w:hint="eastAsia" w:ascii="GulimChe" w:hAnsi="GulimChe"/>
                <w:sz w:val="22"/>
                <w:szCs w:val="22"/>
              </w:rPr>
            </w:pPr>
            <w:r>
              <w:rPr>
                <w:rFonts w:hint="eastAsia" w:ascii="GulimChe" w:hAnsi="GulimChe" w:eastAsia="GulimChe"/>
                <w:sz w:val="22"/>
                <w:szCs w:val="22"/>
              </w:rPr>
              <w:sym w:font="Wingdings 2" w:char="F052"/>
            </w:r>
            <w:r>
              <w:rPr>
                <w:rFonts w:hint="eastAsia" w:ascii="宋体" w:hAnsi="宋体"/>
                <w:sz w:val="22"/>
                <w:szCs w:val="22"/>
              </w:rPr>
              <w:t>以</w:t>
            </w:r>
            <w:r>
              <w:rPr>
                <w:rFonts w:hint="eastAsia" w:ascii="宋体" w:hAnsi="宋体" w:cs="微软雅黑"/>
                <w:sz w:val="22"/>
                <w:szCs w:val="22"/>
              </w:rPr>
              <w:t>发表学术论文或专利为导向</w:t>
            </w:r>
          </w:p>
        </w:tc>
      </w:tr>
      <w:tr w14:paraId="53AABCE3">
        <w:trPr>
          <w:cantSplit/>
          <w:trHeight w:val="549" w:hRule="atLeast"/>
          <w:jc w:val="center"/>
        </w:trPr>
        <w:tc>
          <w:tcPr>
            <w:tcW w:w="481" w:type="dxa"/>
            <w:vMerge w:val="restart"/>
            <w:vAlign w:val="center"/>
          </w:tcPr>
          <w:p w14:paraId="56674069">
            <w:pPr>
              <w:jc w:val="center"/>
              <w:rPr>
                <w:sz w:val="22"/>
                <w:szCs w:val="22"/>
              </w:rPr>
            </w:pPr>
            <w:r>
              <w:rPr>
                <w:rFonts w:hint="eastAsia"/>
                <w:sz w:val="22"/>
                <w:szCs w:val="22"/>
              </w:rPr>
              <w:t>负责人</w:t>
            </w:r>
          </w:p>
        </w:tc>
        <w:tc>
          <w:tcPr>
            <w:tcW w:w="1108" w:type="dxa"/>
            <w:gridSpan w:val="2"/>
            <w:vAlign w:val="center"/>
          </w:tcPr>
          <w:p w14:paraId="521EDD67">
            <w:pPr>
              <w:jc w:val="center"/>
              <w:rPr>
                <w:rFonts w:ascii="仿宋_GB2312" w:eastAsia="仿宋_GB2312"/>
                <w:sz w:val="22"/>
                <w:szCs w:val="22"/>
              </w:rPr>
            </w:pPr>
            <w:r>
              <w:rPr>
                <w:rFonts w:hint="eastAsia"/>
                <w:sz w:val="22"/>
                <w:szCs w:val="22"/>
              </w:rPr>
              <w:t>姓名</w:t>
            </w:r>
          </w:p>
        </w:tc>
        <w:tc>
          <w:tcPr>
            <w:tcW w:w="1114" w:type="dxa"/>
            <w:gridSpan w:val="2"/>
            <w:vAlign w:val="center"/>
          </w:tcPr>
          <w:p w14:paraId="0520896B">
            <w:pPr>
              <w:jc w:val="center"/>
              <w:rPr>
                <w:sz w:val="22"/>
                <w:szCs w:val="22"/>
              </w:rPr>
            </w:pPr>
            <w:r>
              <w:rPr>
                <w:rFonts w:hint="eastAsia"/>
                <w:sz w:val="22"/>
                <w:szCs w:val="22"/>
              </w:rPr>
              <w:t>学号</w:t>
            </w:r>
          </w:p>
        </w:tc>
        <w:tc>
          <w:tcPr>
            <w:tcW w:w="1701" w:type="dxa"/>
            <w:gridSpan w:val="2"/>
            <w:vAlign w:val="center"/>
          </w:tcPr>
          <w:p w14:paraId="4C448EE9">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7D2B4D98">
            <w:pPr>
              <w:jc w:val="center"/>
              <w:rPr>
                <w:rFonts w:ascii="仿宋_GB2312" w:eastAsia="仿宋_GB2312"/>
                <w:sz w:val="22"/>
                <w:szCs w:val="22"/>
              </w:rPr>
            </w:pPr>
            <w:r>
              <w:rPr>
                <w:rFonts w:hint="eastAsia"/>
                <w:sz w:val="22"/>
                <w:szCs w:val="22"/>
              </w:rPr>
              <w:t>专业</w:t>
            </w:r>
          </w:p>
        </w:tc>
        <w:tc>
          <w:tcPr>
            <w:tcW w:w="1578" w:type="dxa"/>
            <w:gridSpan w:val="3"/>
            <w:vAlign w:val="center"/>
          </w:tcPr>
          <w:p w14:paraId="014CAEF8">
            <w:pPr>
              <w:jc w:val="center"/>
              <w:rPr>
                <w:sz w:val="22"/>
                <w:szCs w:val="22"/>
              </w:rPr>
            </w:pPr>
            <w:r>
              <w:rPr>
                <w:rFonts w:hint="eastAsia"/>
                <w:sz w:val="22"/>
                <w:szCs w:val="22"/>
              </w:rPr>
              <w:t>手机</w:t>
            </w:r>
          </w:p>
        </w:tc>
        <w:tc>
          <w:tcPr>
            <w:tcW w:w="2397" w:type="dxa"/>
            <w:vAlign w:val="center"/>
          </w:tcPr>
          <w:p w14:paraId="75E0FF30">
            <w:pPr>
              <w:jc w:val="center"/>
              <w:rPr>
                <w:sz w:val="22"/>
                <w:szCs w:val="22"/>
              </w:rPr>
            </w:pPr>
            <w:r>
              <w:rPr>
                <w:rFonts w:hint="eastAsia"/>
                <w:sz w:val="22"/>
                <w:szCs w:val="22"/>
              </w:rPr>
              <w:t>E-mail</w:t>
            </w:r>
          </w:p>
        </w:tc>
      </w:tr>
      <w:tr w14:paraId="7BEF2F2D">
        <w:trPr>
          <w:cantSplit/>
          <w:trHeight w:val="722" w:hRule="atLeast"/>
          <w:jc w:val="center"/>
        </w:trPr>
        <w:tc>
          <w:tcPr>
            <w:tcW w:w="481" w:type="dxa"/>
            <w:vMerge w:val="continue"/>
            <w:vAlign w:val="center"/>
          </w:tcPr>
          <w:p w14:paraId="581D3DC9">
            <w:pPr>
              <w:rPr>
                <w:sz w:val="22"/>
                <w:szCs w:val="22"/>
              </w:rPr>
            </w:pPr>
          </w:p>
        </w:tc>
        <w:tc>
          <w:tcPr>
            <w:tcW w:w="1108" w:type="dxa"/>
            <w:gridSpan w:val="2"/>
            <w:vAlign w:val="center"/>
          </w:tcPr>
          <w:p w14:paraId="74D82261">
            <w:pPr>
              <w:jc w:val="center"/>
              <w:rPr>
                <w:rFonts w:ascii="仿宋_GB2312" w:eastAsia="仿宋_GB2312"/>
                <w:sz w:val="22"/>
                <w:szCs w:val="22"/>
              </w:rPr>
            </w:pPr>
            <w:r>
              <w:rPr>
                <w:rFonts w:hint="eastAsia" w:ascii="仿宋_GB2312" w:eastAsia="仿宋_GB2312"/>
                <w:sz w:val="22"/>
                <w:szCs w:val="22"/>
              </w:rPr>
              <w:t>罗翔</w:t>
            </w:r>
          </w:p>
        </w:tc>
        <w:tc>
          <w:tcPr>
            <w:tcW w:w="1114" w:type="dxa"/>
            <w:gridSpan w:val="2"/>
            <w:vAlign w:val="center"/>
          </w:tcPr>
          <w:p w14:paraId="22ABE5B1">
            <w:pPr>
              <w:jc w:val="center"/>
              <w:rPr>
                <w:rFonts w:ascii="仿宋_GB2312" w:eastAsia="仿宋_GB2312"/>
                <w:sz w:val="22"/>
                <w:szCs w:val="22"/>
              </w:rPr>
            </w:pPr>
            <w:r>
              <w:rPr>
                <w:rFonts w:hint="eastAsia" w:ascii="仿宋_GB2312" w:eastAsia="仿宋_GB2312"/>
                <w:sz w:val="22"/>
                <w:szCs w:val="22"/>
              </w:rPr>
              <w:t>23013719</w:t>
            </w:r>
          </w:p>
        </w:tc>
        <w:tc>
          <w:tcPr>
            <w:tcW w:w="1701" w:type="dxa"/>
            <w:gridSpan w:val="2"/>
            <w:vAlign w:val="center"/>
          </w:tcPr>
          <w:p w14:paraId="379773EB">
            <w:pPr>
              <w:jc w:val="center"/>
              <w:rPr>
                <w:rFonts w:ascii="仿宋_GB2312" w:eastAsia="仿宋_GB2312"/>
                <w:sz w:val="22"/>
                <w:szCs w:val="22"/>
              </w:rPr>
            </w:pPr>
            <w:r>
              <w:rPr>
                <w:rFonts w:hint="eastAsia" w:ascii="仿宋_GB2312" w:eastAsia="仿宋_GB2312"/>
                <w:sz w:val="22"/>
                <w:szCs w:val="22"/>
              </w:rPr>
              <w:t>艺术设计与传媒学院</w:t>
            </w:r>
          </w:p>
        </w:tc>
        <w:tc>
          <w:tcPr>
            <w:tcW w:w="1560" w:type="dxa"/>
            <w:gridSpan w:val="2"/>
            <w:vAlign w:val="center"/>
          </w:tcPr>
          <w:p w14:paraId="4846D630">
            <w:pPr>
              <w:jc w:val="center"/>
              <w:rPr>
                <w:rFonts w:ascii="仿宋_GB2312" w:eastAsia="仿宋_GB2312"/>
                <w:sz w:val="22"/>
                <w:szCs w:val="22"/>
              </w:rPr>
            </w:pPr>
            <w:r>
              <w:rPr>
                <w:rFonts w:hint="eastAsia" w:ascii="仿宋_GB2312" w:eastAsia="仿宋_GB2312"/>
                <w:sz w:val="22"/>
                <w:szCs w:val="22"/>
              </w:rPr>
              <w:t>工业设计</w:t>
            </w:r>
          </w:p>
        </w:tc>
        <w:tc>
          <w:tcPr>
            <w:tcW w:w="1578" w:type="dxa"/>
            <w:gridSpan w:val="3"/>
            <w:vAlign w:val="center"/>
          </w:tcPr>
          <w:p w14:paraId="6093C4C7">
            <w:pPr>
              <w:jc w:val="center"/>
              <w:rPr>
                <w:rFonts w:ascii="仿宋_GB2312" w:eastAsia="仿宋_GB2312"/>
                <w:sz w:val="22"/>
                <w:szCs w:val="22"/>
              </w:rPr>
            </w:pPr>
            <w:r>
              <w:rPr>
                <w:rFonts w:hint="eastAsia" w:ascii="仿宋_GB2312" w:eastAsia="仿宋_GB2312"/>
                <w:sz w:val="22"/>
                <w:szCs w:val="22"/>
              </w:rPr>
              <w:t>15958772787</w:t>
            </w:r>
          </w:p>
        </w:tc>
        <w:tc>
          <w:tcPr>
            <w:tcW w:w="2397" w:type="dxa"/>
            <w:vAlign w:val="center"/>
          </w:tcPr>
          <w:p w14:paraId="1FF1023A">
            <w:pPr>
              <w:jc w:val="center"/>
              <w:rPr>
                <w:rFonts w:ascii="仿宋_GB2312" w:eastAsia="仿宋_GB2312"/>
                <w:sz w:val="22"/>
                <w:szCs w:val="22"/>
              </w:rPr>
            </w:pPr>
            <w:r>
              <w:rPr>
                <w:rFonts w:hint="eastAsia" w:ascii="仿宋_GB2312" w:eastAsia="仿宋_GB2312"/>
                <w:sz w:val="22"/>
                <w:szCs w:val="22"/>
              </w:rPr>
              <w:t>2533362696@</w:t>
            </w:r>
            <w:r>
              <w:rPr>
                <w:rFonts w:ascii="仿宋_GB2312" w:eastAsia="仿宋_GB2312"/>
                <w:sz w:val="22"/>
                <w:szCs w:val="22"/>
              </w:rPr>
              <w:t>qq.com</w:t>
            </w:r>
          </w:p>
        </w:tc>
      </w:tr>
      <w:tr w14:paraId="29A2B094">
        <w:trPr>
          <w:cantSplit/>
          <w:trHeight w:val="705" w:hRule="atLeast"/>
          <w:jc w:val="center"/>
        </w:trPr>
        <w:tc>
          <w:tcPr>
            <w:tcW w:w="481" w:type="dxa"/>
            <w:vMerge w:val="restart"/>
            <w:vAlign w:val="center"/>
          </w:tcPr>
          <w:p w14:paraId="21F1D5D3">
            <w:pPr>
              <w:jc w:val="center"/>
              <w:rPr>
                <w:sz w:val="22"/>
                <w:szCs w:val="22"/>
                <w:highlight w:val="none"/>
              </w:rPr>
            </w:pPr>
            <w:r>
              <w:rPr>
                <w:rFonts w:hint="eastAsia"/>
                <w:sz w:val="22"/>
                <w:szCs w:val="22"/>
                <w:highlight w:val="none"/>
              </w:rPr>
              <w:t>参与</w:t>
            </w:r>
          </w:p>
          <w:p w14:paraId="55A4B886">
            <w:pPr>
              <w:jc w:val="center"/>
              <w:rPr>
                <w:sz w:val="22"/>
                <w:szCs w:val="22"/>
              </w:rPr>
            </w:pPr>
            <w:r>
              <w:rPr>
                <w:rFonts w:hint="eastAsia"/>
                <w:sz w:val="22"/>
                <w:szCs w:val="22"/>
                <w:highlight w:val="none"/>
              </w:rPr>
              <w:t>组员</w:t>
            </w:r>
          </w:p>
        </w:tc>
        <w:tc>
          <w:tcPr>
            <w:tcW w:w="1108" w:type="dxa"/>
            <w:gridSpan w:val="2"/>
            <w:vAlign w:val="center"/>
          </w:tcPr>
          <w:p w14:paraId="2B47C15A">
            <w:pPr>
              <w:jc w:val="center"/>
              <w:rPr>
                <w:rFonts w:ascii="仿宋_GB2312" w:eastAsia="仿宋_GB2312"/>
                <w:sz w:val="22"/>
                <w:szCs w:val="22"/>
              </w:rPr>
            </w:pPr>
            <w:r>
              <w:rPr>
                <w:rFonts w:hint="eastAsia" w:ascii="仿宋_GB2312" w:eastAsia="仿宋_GB2312"/>
                <w:sz w:val="22"/>
                <w:szCs w:val="22"/>
              </w:rPr>
              <w:t>王启华</w:t>
            </w:r>
          </w:p>
        </w:tc>
        <w:tc>
          <w:tcPr>
            <w:tcW w:w="1114" w:type="dxa"/>
            <w:gridSpan w:val="2"/>
            <w:vAlign w:val="center"/>
          </w:tcPr>
          <w:p w14:paraId="7AD156E9">
            <w:pPr>
              <w:jc w:val="center"/>
              <w:rPr>
                <w:rFonts w:ascii="仿宋_GB2312" w:eastAsia="仿宋_GB2312"/>
                <w:sz w:val="22"/>
                <w:szCs w:val="22"/>
              </w:rPr>
            </w:pPr>
            <w:r>
              <w:rPr>
                <w:rFonts w:hint="eastAsia" w:ascii="仿宋_GB2312" w:eastAsia="仿宋_GB2312"/>
                <w:sz w:val="22"/>
                <w:szCs w:val="22"/>
              </w:rPr>
              <w:t>23013713</w:t>
            </w:r>
          </w:p>
        </w:tc>
        <w:tc>
          <w:tcPr>
            <w:tcW w:w="1701" w:type="dxa"/>
            <w:gridSpan w:val="2"/>
            <w:vAlign w:val="center"/>
          </w:tcPr>
          <w:p w14:paraId="4C0011D8">
            <w:pPr>
              <w:jc w:val="center"/>
              <w:rPr>
                <w:rFonts w:ascii="仿宋_GB2312" w:eastAsia="仿宋_GB2312"/>
                <w:sz w:val="22"/>
                <w:szCs w:val="22"/>
              </w:rPr>
            </w:pPr>
            <w:r>
              <w:rPr>
                <w:rFonts w:hint="eastAsia" w:ascii="仿宋_GB2312" w:eastAsia="仿宋_GB2312"/>
                <w:sz w:val="22"/>
                <w:szCs w:val="22"/>
              </w:rPr>
              <w:t>艺术设计与传媒学院</w:t>
            </w:r>
          </w:p>
        </w:tc>
        <w:tc>
          <w:tcPr>
            <w:tcW w:w="1560" w:type="dxa"/>
            <w:gridSpan w:val="2"/>
            <w:vAlign w:val="center"/>
          </w:tcPr>
          <w:p w14:paraId="39B96635">
            <w:pPr>
              <w:jc w:val="center"/>
              <w:rPr>
                <w:rFonts w:ascii="仿宋_GB2312" w:eastAsia="仿宋_GB2312"/>
                <w:sz w:val="22"/>
                <w:szCs w:val="22"/>
              </w:rPr>
            </w:pPr>
            <w:r>
              <w:rPr>
                <w:rFonts w:hint="eastAsia" w:ascii="仿宋_GB2312" w:eastAsia="仿宋_GB2312"/>
                <w:sz w:val="22"/>
                <w:szCs w:val="22"/>
              </w:rPr>
              <w:t>工业设计</w:t>
            </w:r>
          </w:p>
        </w:tc>
        <w:tc>
          <w:tcPr>
            <w:tcW w:w="1578" w:type="dxa"/>
            <w:gridSpan w:val="3"/>
            <w:vAlign w:val="center"/>
          </w:tcPr>
          <w:p w14:paraId="1892D7D2">
            <w:pPr>
              <w:jc w:val="center"/>
              <w:rPr>
                <w:rFonts w:ascii="仿宋_GB2312" w:eastAsia="仿宋_GB2312"/>
                <w:sz w:val="22"/>
                <w:szCs w:val="22"/>
              </w:rPr>
            </w:pPr>
            <w:r>
              <w:rPr>
                <w:rFonts w:hint="eastAsia" w:ascii="仿宋_GB2312" w:eastAsia="仿宋_GB2312"/>
                <w:sz w:val="22"/>
                <w:szCs w:val="22"/>
              </w:rPr>
              <w:t>19951343857</w:t>
            </w:r>
          </w:p>
        </w:tc>
        <w:tc>
          <w:tcPr>
            <w:tcW w:w="2397" w:type="dxa"/>
            <w:vAlign w:val="center"/>
          </w:tcPr>
          <w:p w14:paraId="546E6197">
            <w:pPr>
              <w:jc w:val="center"/>
              <w:rPr>
                <w:rFonts w:ascii="仿宋_GB2312" w:eastAsia="仿宋_GB2312"/>
                <w:sz w:val="22"/>
                <w:szCs w:val="22"/>
              </w:rPr>
            </w:pPr>
            <w:r>
              <w:rPr>
                <w:rFonts w:hint="eastAsia" w:ascii="仿宋_GB2312" w:eastAsia="仿宋_GB2312"/>
                <w:sz w:val="22"/>
                <w:szCs w:val="22"/>
              </w:rPr>
              <w:t>2720534324@qq.com</w:t>
            </w:r>
          </w:p>
        </w:tc>
      </w:tr>
      <w:tr w14:paraId="48C73493">
        <w:trPr>
          <w:cantSplit/>
          <w:trHeight w:val="705" w:hRule="atLeast"/>
          <w:jc w:val="center"/>
        </w:trPr>
        <w:tc>
          <w:tcPr>
            <w:tcW w:w="481" w:type="dxa"/>
            <w:vMerge w:val="continue"/>
            <w:vAlign w:val="center"/>
          </w:tcPr>
          <w:p w14:paraId="615CE59F">
            <w:pPr>
              <w:jc w:val="center"/>
              <w:rPr>
                <w:sz w:val="22"/>
                <w:szCs w:val="22"/>
              </w:rPr>
            </w:pPr>
          </w:p>
        </w:tc>
        <w:tc>
          <w:tcPr>
            <w:tcW w:w="1108" w:type="dxa"/>
            <w:gridSpan w:val="2"/>
            <w:vAlign w:val="center"/>
          </w:tcPr>
          <w:p w14:paraId="43E1E605">
            <w:pPr>
              <w:jc w:val="center"/>
              <w:rPr>
                <w:rFonts w:ascii="仿宋_GB2312" w:eastAsia="仿宋_GB2312"/>
                <w:sz w:val="22"/>
                <w:szCs w:val="22"/>
              </w:rPr>
            </w:pPr>
            <w:r>
              <w:rPr>
                <w:rFonts w:ascii="仿宋_GB2312" w:eastAsia="仿宋_GB2312"/>
                <w:sz w:val="22"/>
                <w:szCs w:val="22"/>
              </w:rPr>
              <w:t>李呈悦</w:t>
            </w:r>
          </w:p>
        </w:tc>
        <w:tc>
          <w:tcPr>
            <w:tcW w:w="1114" w:type="dxa"/>
            <w:gridSpan w:val="2"/>
            <w:vAlign w:val="center"/>
          </w:tcPr>
          <w:p w14:paraId="4C421ED0">
            <w:pPr>
              <w:jc w:val="center"/>
              <w:rPr>
                <w:rFonts w:ascii="仿宋_GB2312" w:eastAsia="仿宋_GB2312"/>
                <w:sz w:val="22"/>
                <w:szCs w:val="22"/>
              </w:rPr>
            </w:pPr>
            <w:r>
              <w:rPr>
                <w:rFonts w:ascii="仿宋_GB2312" w:eastAsia="仿宋_GB2312"/>
                <w:sz w:val="22"/>
                <w:szCs w:val="22"/>
              </w:rPr>
              <w:t>20001987</w:t>
            </w:r>
          </w:p>
        </w:tc>
        <w:tc>
          <w:tcPr>
            <w:tcW w:w="1701" w:type="dxa"/>
            <w:gridSpan w:val="2"/>
            <w:vAlign w:val="center"/>
          </w:tcPr>
          <w:p w14:paraId="1FA4F8F7">
            <w:pPr>
              <w:jc w:val="center"/>
              <w:rPr>
                <w:rFonts w:ascii="仿宋_GB2312" w:eastAsia="仿宋_GB2312"/>
                <w:sz w:val="22"/>
                <w:szCs w:val="22"/>
              </w:rPr>
            </w:pPr>
            <w:r>
              <w:rPr>
                <w:rFonts w:ascii="仿宋_GB2312" w:eastAsia="仿宋_GB2312"/>
                <w:sz w:val="22"/>
                <w:szCs w:val="22"/>
              </w:rPr>
              <w:t>艺术设计与传媒学院</w:t>
            </w:r>
          </w:p>
        </w:tc>
        <w:tc>
          <w:tcPr>
            <w:tcW w:w="1560" w:type="dxa"/>
            <w:gridSpan w:val="2"/>
            <w:vAlign w:val="center"/>
          </w:tcPr>
          <w:p w14:paraId="16EFE8AF">
            <w:pPr>
              <w:jc w:val="center"/>
              <w:rPr>
                <w:rFonts w:ascii="仿宋_GB2312" w:eastAsia="仿宋_GB2312"/>
                <w:sz w:val="22"/>
                <w:szCs w:val="22"/>
              </w:rPr>
            </w:pPr>
            <w:r>
              <w:rPr>
                <w:rFonts w:ascii="仿宋_GB2312" w:eastAsia="仿宋_GB2312"/>
                <w:sz w:val="22"/>
                <w:szCs w:val="22"/>
              </w:rPr>
              <w:t>工业设计</w:t>
            </w:r>
          </w:p>
        </w:tc>
        <w:tc>
          <w:tcPr>
            <w:tcW w:w="1578" w:type="dxa"/>
            <w:gridSpan w:val="3"/>
            <w:vAlign w:val="center"/>
          </w:tcPr>
          <w:p w14:paraId="0CBE49F5">
            <w:pPr>
              <w:jc w:val="center"/>
              <w:rPr>
                <w:rFonts w:ascii="仿宋_GB2312" w:eastAsia="仿宋_GB2312"/>
                <w:sz w:val="22"/>
                <w:szCs w:val="22"/>
              </w:rPr>
            </w:pPr>
            <w:r>
              <w:rPr>
                <w:rFonts w:ascii="仿宋_GB2312" w:eastAsia="仿宋_GB2312"/>
                <w:sz w:val="22"/>
                <w:szCs w:val="22"/>
              </w:rPr>
              <w:t>15845499763</w:t>
            </w:r>
          </w:p>
        </w:tc>
        <w:tc>
          <w:tcPr>
            <w:tcW w:w="2397" w:type="dxa"/>
            <w:vAlign w:val="center"/>
          </w:tcPr>
          <w:p w14:paraId="7B28014F">
            <w:pPr>
              <w:jc w:val="center"/>
              <w:rPr>
                <w:rFonts w:ascii="仿宋_GB2312" w:eastAsia="仿宋_GB2312"/>
                <w:sz w:val="22"/>
                <w:szCs w:val="22"/>
              </w:rPr>
            </w:pPr>
            <w:r>
              <w:rPr>
                <w:rFonts w:ascii="仿宋_GB2312" w:eastAsia="仿宋_GB2312"/>
                <w:sz w:val="22"/>
                <w:szCs w:val="22"/>
              </w:rPr>
              <w:t>1345544597@qq.com</w:t>
            </w:r>
          </w:p>
        </w:tc>
      </w:tr>
      <w:tr w14:paraId="26B07062">
        <w:trPr>
          <w:cantSplit/>
          <w:trHeight w:val="687" w:hRule="atLeast"/>
          <w:jc w:val="center"/>
        </w:trPr>
        <w:tc>
          <w:tcPr>
            <w:tcW w:w="481" w:type="dxa"/>
            <w:vMerge w:val="continue"/>
            <w:vAlign w:val="center"/>
          </w:tcPr>
          <w:p w14:paraId="1D38D56E">
            <w:pPr>
              <w:rPr>
                <w:sz w:val="22"/>
                <w:szCs w:val="22"/>
              </w:rPr>
            </w:pPr>
          </w:p>
        </w:tc>
        <w:tc>
          <w:tcPr>
            <w:tcW w:w="1108" w:type="dxa"/>
            <w:gridSpan w:val="2"/>
            <w:vAlign w:val="center"/>
          </w:tcPr>
          <w:p w14:paraId="28609143">
            <w:pPr>
              <w:jc w:val="center"/>
              <w:rPr>
                <w:rFonts w:ascii="仿宋_GB2312" w:eastAsia="仿宋_GB2312"/>
                <w:sz w:val="22"/>
                <w:szCs w:val="22"/>
              </w:rPr>
            </w:pPr>
          </w:p>
        </w:tc>
        <w:tc>
          <w:tcPr>
            <w:tcW w:w="1114" w:type="dxa"/>
            <w:gridSpan w:val="2"/>
            <w:vAlign w:val="center"/>
          </w:tcPr>
          <w:p w14:paraId="1BB188F0">
            <w:pPr>
              <w:jc w:val="center"/>
              <w:rPr>
                <w:rFonts w:ascii="仿宋_GB2312" w:eastAsia="仿宋_GB2312"/>
                <w:sz w:val="22"/>
                <w:szCs w:val="22"/>
              </w:rPr>
            </w:pPr>
          </w:p>
        </w:tc>
        <w:tc>
          <w:tcPr>
            <w:tcW w:w="1701" w:type="dxa"/>
            <w:gridSpan w:val="2"/>
            <w:vAlign w:val="center"/>
          </w:tcPr>
          <w:p w14:paraId="04DF319D">
            <w:pPr>
              <w:jc w:val="center"/>
              <w:rPr>
                <w:rFonts w:ascii="仿宋_GB2312" w:eastAsia="仿宋_GB2312"/>
                <w:sz w:val="22"/>
                <w:szCs w:val="22"/>
              </w:rPr>
            </w:pPr>
          </w:p>
        </w:tc>
        <w:tc>
          <w:tcPr>
            <w:tcW w:w="1560" w:type="dxa"/>
            <w:gridSpan w:val="2"/>
            <w:vAlign w:val="center"/>
          </w:tcPr>
          <w:p w14:paraId="017F0006">
            <w:pPr>
              <w:jc w:val="center"/>
              <w:rPr>
                <w:rFonts w:ascii="仿宋_GB2312" w:eastAsia="仿宋_GB2312"/>
                <w:sz w:val="22"/>
                <w:szCs w:val="22"/>
              </w:rPr>
            </w:pPr>
          </w:p>
        </w:tc>
        <w:tc>
          <w:tcPr>
            <w:tcW w:w="1578" w:type="dxa"/>
            <w:gridSpan w:val="3"/>
            <w:vAlign w:val="center"/>
          </w:tcPr>
          <w:p w14:paraId="00308B33">
            <w:pPr>
              <w:jc w:val="center"/>
              <w:rPr>
                <w:rFonts w:ascii="仿宋_GB2312" w:eastAsia="仿宋_GB2312"/>
                <w:sz w:val="22"/>
                <w:szCs w:val="22"/>
              </w:rPr>
            </w:pPr>
          </w:p>
        </w:tc>
        <w:tc>
          <w:tcPr>
            <w:tcW w:w="2397" w:type="dxa"/>
            <w:vAlign w:val="center"/>
          </w:tcPr>
          <w:p w14:paraId="6158CCAA">
            <w:pPr>
              <w:jc w:val="center"/>
              <w:rPr>
                <w:rFonts w:ascii="仿宋_GB2312" w:eastAsia="仿宋_GB2312"/>
                <w:sz w:val="22"/>
                <w:szCs w:val="22"/>
              </w:rPr>
            </w:pPr>
          </w:p>
        </w:tc>
      </w:tr>
      <w:tr w14:paraId="514FF36E">
        <w:trPr>
          <w:cantSplit/>
          <w:trHeight w:val="549" w:hRule="atLeast"/>
          <w:jc w:val="center"/>
        </w:trPr>
        <w:tc>
          <w:tcPr>
            <w:tcW w:w="481" w:type="dxa"/>
            <w:vMerge w:val="restart"/>
            <w:vAlign w:val="center"/>
          </w:tcPr>
          <w:p w14:paraId="59D42CC7">
            <w:pPr>
              <w:jc w:val="center"/>
              <w:rPr>
                <w:sz w:val="22"/>
                <w:szCs w:val="22"/>
              </w:rPr>
            </w:pPr>
            <w:r>
              <w:rPr>
                <w:rFonts w:hint="eastAsia"/>
                <w:sz w:val="22"/>
                <w:szCs w:val="22"/>
              </w:rPr>
              <w:t>指导教师</w:t>
            </w:r>
          </w:p>
        </w:tc>
        <w:tc>
          <w:tcPr>
            <w:tcW w:w="1108" w:type="dxa"/>
            <w:gridSpan w:val="2"/>
            <w:vAlign w:val="center"/>
          </w:tcPr>
          <w:p w14:paraId="3BC6AB94">
            <w:pPr>
              <w:jc w:val="center"/>
              <w:rPr>
                <w:rFonts w:ascii="仿宋_GB2312" w:eastAsia="仿宋_GB2312"/>
                <w:sz w:val="22"/>
                <w:szCs w:val="22"/>
              </w:rPr>
            </w:pPr>
            <w:r>
              <w:rPr>
                <w:rFonts w:hint="eastAsia"/>
                <w:sz w:val="22"/>
                <w:szCs w:val="22"/>
              </w:rPr>
              <w:t>姓名</w:t>
            </w:r>
          </w:p>
        </w:tc>
        <w:tc>
          <w:tcPr>
            <w:tcW w:w="1114" w:type="dxa"/>
            <w:gridSpan w:val="2"/>
            <w:vAlign w:val="center"/>
          </w:tcPr>
          <w:p w14:paraId="4FB12C13">
            <w:pPr>
              <w:jc w:val="center"/>
              <w:rPr>
                <w:rFonts w:ascii="仿宋_GB2312" w:eastAsia="仿宋_GB2312"/>
                <w:sz w:val="22"/>
                <w:szCs w:val="22"/>
              </w:rPr>
            </w:pPr>
            <w:r>
              <w:rPr>
                <w:rFonts w:hint="eastAsia" w:ascii="仿宋_GB2312" w:eastAsia="仿宋_GB2312"/>
                <w:sz w:val="22"/>
                <w:szCs w:val="22"/>
              </w:rPr>
              <w:t>赵畅</w:t>
            </w:r>
          </w:p>
        </w:tc>
        <w:tc>
          <w:tcPr>
            <w:tcW w:w="1701" w:type="dxa"/>
            <w:gridSpan w:val="2"/>
            <w:vAlign w:val="center"/>
          </w:tcPr>
          <w:p w14:paraId="5AF4B08A">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78257D97">
            <w:pPr>
              <w:jc w:val="center"/>
              <w:rPr>
                <w:rFonts w:ascii="仿宋_GB2312" w:eastAsia="仿宋_GB2312"/>
                <w:sz w:val="22"/>
                <w:szCs w:val="22"/>
              </w:rPr>
            </w:pPr>
            <w:r>
              <w:rPr>
                <w:rFonts w:hint="eastAsia" w:ascii="仿宋_GB2312" w:eastAsia="仿宋_GB2312"/>
                <w:sz w:val="22"/>
                <w:szCs w:val="22"/>
              </w:rPr>
              <w:t>艺术设计与传媒学院</w:t>
            </w:r>
          </w:p>
        </w:tc>
      </w:tr>
      <w:tr w14:paraId="6DBBEC52">
        <w:trPr>
          <w:cantSplit/>
          <w:trHeight w:val="549" w:hRule="atLeast"/>
          <w:jc w:val="center"/>
        </w:trPr>
        <w:tc>
          <w:tcPr>
            <w:tcW w:w="481" w:type="dxa"/>
            <w:vMerge w:val="continue"/>
            <w:vAlign w:val="center"/>
          </w:tcPr>
          <w:p w14:paraId="033A9A42">
            <w:pPr>
              <w:jc w:val="center"/>
              <w:rPr>
                <w:sz w:val="22"/>
                <w:szCs w:val="22"/>
              </w:rPr>
            </w:pPr>
          </w:p>
        </w:tc>
        <w:tc>
          <w:tcPr>
            <w:tcW w:w="1108" w:type="dxa"/>
            <w:gridSpan w:val="2"/>
            <w:vAlign w:val="center"/>
          </w:tcPr>
          <w:p w14:paraId="7A3C7A8A">
            <w:pPr>
              <w:jc w:val="center"/>
              <w:rPr>
                <w:sz w:val="22"/>
                <w:szCs w:val="22"/>
              </w:rPr>
            </w:pPr>
            <w:r>
              <w:rPr>
                <w:rFonts w:hint="eastAsia"/>
                <w:sz w:val="22"/>
                <w:szCs w:val="22"/>
              </w:rPr>
              <w:t>联系电话</w:t>
            </w:r>
          </w:p>
        </w:tc>
        <w:tc>
          <w:tcPr>
            <w:tcW w:w="1114" w:type="dxa"/>
            <w:gridSpan w:val="2"/>
            <w:vAlign w:val="center"/>
          </w:tcPr>
          <w:p w14:paraId="7D35F28C">
            <w:pPr>
              <w:jc w:val="center"/>
              <w:rPr>
                <w:rFonts w:ascii="仿宋_GB2312" w:eastAsia="仿宋_GB2312"/>
                <w:sz w:val="22"/>
                <w:szCs w:val="22"/>
              </w:rPr>
            </w:pPr>
            <w:r>
              <w:rPr>
                <w:rFonts w:hint="eastAsia" w:ascii="仿宋_GB2312" w:eastAsia="仿宋_GB2312"/>
                <w:sz w:val="22"/>
                <w:szCs w:val="22"/>
              </w:rPr>
              <w:t>18861820138</w:t>
            </w:r>
          </w:p>
        </w:tc>
        <w:tc>
          <w:tcPr>
            <w:tcW w:w="1134" w:type="dxa"/>
            <w:vAlign w:val="center"/>
          </w:tcPr>
          <w:p w14:paraId="19A6E3B7">
            <w:pPr>
              <w:jc w:val="center"/>
              <w:rPr>
                <w:rFonts w:ascii="仿宋_GB2312" w:eastAsia="仿宋_GB2312"/>
                <w:sz w:val="22"/>
                <w:szCs w:val="22"/>
              </w:rPr>
            </w:pPr>
            <w:r>
              <w:rPr>
                <w:rFonts w:hint="eastAsia"/>
                <w:sz w:val="22"/>
                <w:szCs w:val="22"/>
              </w:rPr>
              <w:t>手机</w:t>
            </w:r>
          </w:p>
        </w:tc>
        <w:tc>
          <w:tcPr>
            <w:tcW w:w="1418" w:type="dxa"/>
            <w:gridSpan w:val="2"/>
            <w:vAlign w:val="center"/>
          </w:tcPr>
          <w:p w14:paraId="327AAAE3">
            <w:pPr>
              <w:jc w:val="center"/>
              <w:rPr>
                <w:rFonts w:ascii="仿宋_GB2312" w:eastAsia="仿宋_GB2312"/>
                <w:sz w:val="22"/>
                <w:szCs w:val="22"/>
              </w:rPr>
            </w:pPr>
            <w:r>
              <w:rPr>
                <w:rFonts w:hint="eastAsia" w:ascii="仿宋_GB2312" w:eastAsia="仿宋_GB2312"/>
                <w:sz w:val="22"/>
                <w:szCs w:val="22"/>
              </w:rPr>
              <w:t>18861820138</w:t>
            </w:r>
          </w:p>
        </w:tc>
        <w:tc>
          <w:tcPr>
            <w:tcW w:w="992" w:type="dxa"/>
            <w:gridSpan w:val="2"/>
            <w:vAlign w:val="center"/>
          </w:tcPr>
          <w:p w14:paraId="26FAA447">
            <w:pPr>
              <w:jc w:val="center"/>
              <w:rPr>
                <w:rFonts w:eastAsia="仿宋_GB2312"/>
                <w:sz w:val="22"/>
                <w:szCs w:val="22"/>
              </w:rPr>
            </w:pPr>
            <w:r>
              <w:rPr>
                <w:rFonts w:eastAsia="仿宋_GB2312"/>
                <w:sz w:val="22"/>
                <w:szCs w:val="22"/>
              </w:rPr>
              <w:t>E-mail</w:t>
            </w:r>
          </w:p>
        </w:tc>
        <w:tc>
          <w:tcPr>
            <w:tcW w:w="3692" w:type="dxa"/>
            <w:gridSpan w:val="3"/>
            <w:vAlign w:val="center"/>
          </w:tcPr>
          <w:p w14:paraId="787CFB26">
            <w:pPr>
              <w:jc w:val="center"/>
              <w:rPr>
                <w:rFonts w:ascii="仿宋_GB2312" w:eastAsia="仿宋_GB2312"/>
                <w:sz w:val="22"/>
                <w:szCs w:val="22"/>
              </w:rPr>
            </w:pPr>
            <w:r>
              <w:rPr>
                <w:rFonts w:ascii="仿宋_GB2312" w:eastAsia="仿宋_GB2312"/>
                <w:sz w:val="22"/>
                <w:szCs w:val="22"/>
              </w:rPr>
              <w:t>cc25416@ecust.edu.cn</w:t>
            </w:r>
          </w:p>
        </w:tc>
      </w:tr>
      <w:tr w14:paraId="38B255F2">
        <w:trPr>
          <w:cantSplit/>
          <w:trHeight w:val="581" w:hRule="atLeast"/>
          <w:jc w:val="center"/>
        </w:trPr>
        <w:tc>
          <w:tcPr>
            <w:tcW w:w="481" w:type="dxa"/>
            <w:vMerge w:val="continue"/>
            <w:vAlign w:val="center"/>
          </w:tcPr>
          <w:p w14:paraId="5D65E805">
            <w:pPr>
              <w:rPr>
                <w:sz w:val="22"/>
                <w:szCs w:val="22"/>
              </w:rPr>
            </w:pPr>
          </w:p>
        </w:tc>
        <w:tc>
          <w:tcPr>
            <w:tcW w:w="1372" w:type="dxa"/>
            <w:gridSpan w:val="3"/>
            <w:vAlign w:val="center"/>
          </w:tcPr>
          <w:p w14:paraId="2982E6C1">
            <w:pPr>
              <w:jc w:val="center"/>
              <w:rPr>
                <w:rFonts w:ascii="仿宋_GB2312" w:eastAsia="仿宋_GB2312"/>
                <w:sz w:val="22"/>
                <w:szCs w:val="22"/>
              </w:rPr>
            </w:pPr>
            <w:r>
              <w:rPr>
                <w:rFonts w:hint="eastAsia"/>
                <w:sz w:val="22"/>
                <w:szCs w:val="22"/>
              </w:rPr>
              <w:t>职务/职称</w:t>
            </w:r>
          </w:p>
        </w:tc>
        <w:tc>
          <w:tcPr>
            <w:tcW w:w="2551" w:type="dxa"/>
            <w:gridSpan w:val="3"/>
            <w:vAlign w:val="center"/>
          </w:tcPr>
          <w:p w14:paraId="1DDB32E9">
            <w:pPr>
              <w:jc w:val="center"/>
              <w:rPr>
                <w:rFonts w:ascii="仿宋_GB2312" w:eastAsia="仿宋_GB2312"/>
                <w:sz w:val="22"/>
                <w:szCs w:val="22"/>
              </w:rPr>
            </w:pPr>
            <w:r>
              <w:rPr>
                <w:rFonts w:hint="eastAsia" w:ascii="仿宋_GB2312" w:eastAsia="仿宋_GB2312"/>
                <w:sz w:val="22"/>
                <w:szCs w:val="22"/>
              </w:rPr>
              <w:t>讲师</w:t>
            </w:r>
          </w:p>
        </w:tc>
        <w:tc>
          <w:tcPr>
            <w:tcW w:w="1560" w:type="dxa"/>
            <w:gridSpan w:val="2"/>
            <w:vAlign w:val="center"/>
          </w:tcPr>
          <w:p w14:paraId="7D3CE257">
            <w:pPr>
              <w:jc w:val="center"/>
              <w:rPr>
                <w:sz w:val="22"/>
                <w:szCs w:val="22"/>
              </w:rPr>
            </w:pPr>
            <w:r>
              <w:rPr>
                <w:rFonts w:hint="eastAsia"/>
                <w:sz w:val="22"/>
                <w:szCs w:val="22"/>
              </w:rPr>
              <w:t>主要研究方向</w:t>
            </w:r>
          </w:p>
        </w:tc>
        <w:tc>
          <w:tcPr>
            <w:tcW w:w="3975" w:type="dxa"/>
            <w:gridSpan w:val="4"/>
            <w:vAlign w:val="center"/>
          </w:tcPr>
          <w:p w14:paraId="23C431AC">
            <w:pPr>
              <w:jc w:val="center"/>
              <w:rPr>
                <w:rFonts w:ascii="仿宋_GB2312" w:eastAsia="仿宋_GB2312"/>
                <w:sz w:val="22"/>
                <w:szCs w:val="22"/>
              </w:rPr>
            </w:pPr>
            <w:r>
              <w:rPr>
                <w:rFonts w:hint="eastAsia" w:ascii="仿宋_GB2312" w:eastAsia="仿宋_GB2312"/>
                <w:sz w:val="22"/>
                <w:szCs w:val="22"/>
              </w:rPr>
              <w:t>产品创新方法、用户体验设计</w:t>
            </w:r>
          </w:p>
        </w:tc>
      </w:tr>
    </w:tbl>
    <w:p w14:paraId="2C98032D">
      <w:pPr>
        <w:spacing w:before="312" w:beforeLines="100" w:after="156" w:afterLines="50"/>
        <w:rPr>
          <w:b/>
          <w:sz w:val="32"/>
          <w:szCs w:val="32"/>
        </w:rPr>
      </w:pPr>
    </w:p>
    <w:p w14:paraId="5EBE9C27">
      <w:pPr>
        <w:spacing w:before="312" w:beforeLines="100" w:after="156" w:afterLines="50"/>
        <w:rPr>
          <w:b/>
          <w:sz w:val="32"/>
          <w:szCs w:val="32"/>
        </w:rPr>
      </w:pPr>
      <w:r>
        <w:rPr>
          <w:b/>
          <w:sz w:val="32"/>
          <w:szCs w:val="32"/>
        </w:rPr>
        <w:br w:type="page"/>
      </w:r>
      <w:r>
        <w:rPr>
          <w:rFonts w:hint="eastAsia"/>
          <w:b/>
          <w:sz w:val="32"/>
          <w:szCs w:val="32"/>
        </w:rPr>
        <w:t>二、项目申请理由</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00227CB5">
        <w:trPr>
          <w:trHeight w:val="612" w:hRule="atLeast"/>
          <w:jc w:val="center"/>
        </w:trPr>
        <w:tc>
          <w:tcPr>
            <w:tcW w:w="481" w:type="dxa"/>
            <w:vMerge w:val="restart"/>
            <w:vAlign w:val="center"/>
          </w:tcPr>
          <w:p w14:paraId="517976F5">
            <w:pPr>
              <w:rPr>
                <w:b/>
                <w:sz w:val="24"/>
                <w:highlight w:val="none"/>
              </w:rPr>
            </w:pPr>
            <w:r>
              <w:rPr>
                <w:rFonts w:hint="eastAsia"/>
                <w:sz w:val="22"/>
                <w:szCs w:val="22"/>
                <w:highlight w:val="none"/>
              </w:rPr>
              <w:tab/>
            </w:r>
            <w:r>
              <w:rPr>
                <w:rFonts w:hint="eastAsia"/>
                <w:b/>
                <w:sz w:val="24"/>
                <w:highlight w:val="none"/>
              </w:rPr>
              <w:t>项</w:t>
            </w:r>
          </w:p>
          <w:p w14:paraId="3BD57955">
            <w:pPr>
              <w:rPr>
                <w:b/>
                <w:sz w:val="24"/>
                <w:highlight w:val="none"/>
              </w:rPr>
            </w:pPr>
            <w:r>
              <w:rPr>
                <w:rFonts w:hint="eastAsia"/>
                <w:b/>
                <w:sz w:val="24"/>
                <w:highlight w:val="none"/>
              </w:rPr>
              <w:t>目</w:t>
            </w:r>
          </w:p>
          <w:p w14:paraId="079C940A">
            <w:pPr>
              <w:rPr>
                <w:b/>
                <w:sz w:val="24"/>
                <w:highlight w:val="none"/>
              </w:rPr>
            </w:pPr>
            <w:r>
              <w:rPr>
                <w:rFonts w:hint="eastAsia"/>
                <w:b/>
                <w:sz w:val="24"/>
                <w:highlight w:val="none"/>
              </w:rPr>
              <w:t>背景和</w:t>
            </w:r>
          </w:p>
          <w:p w14:paraId="1CE7F52A">
            <w:pPr>
              <w:rPr>
                <w:b/>
                <w:sz w:val="24"/>
                <w:highlight w:val="none"/>
              </w:rPr>
            </w:pPr>
            <w:r>
              <w:rPr>
                <w:rFonts w:hint="eastAsia"/>
                <w:b/>
                <w:sz w:val="24"/>
                <w:highlight w:val="none"/>
              </w:rPr>
              <w:t>意义</w:t>
            </w:r>
          </w:p>
        </w:tc>
        <w:tc>
          <w:tcPr>
            <w:tcW w:w="9458" w:type="dxa"/>
            <w:tcBorders>
              <w:bottom w:val="nil"/>
            </w:tcBorders>
          </w:tcPr>
          <w:p w14:paraId="09B50236">
            <w:pPr>
              <w:spacing w:line="300" w:lineRule="auto"/>
              <w:rPr>
                <w:rFonts w:hint="eastAsia" w:ascii="仿宋_GB2312" w:hAnsi="宋体" w:eastAsia="仿宋_GB2312"/>
                <w:sz w:val="24"/>
                <w:highlight w:val="none"/>
              </w:rPr>
            </w:pPr>
            <w:r>
              <w:rPr>
                <w:rFonts w:hint="eastAsia" w:ascii="仿宋_GB2312" w:hAnsi="宋体" w:eastAsia="仿宋_GB2312"/>
                <w:sz w:val="24"/>
                <w:highlight w:val="none"/>
              </w:rPr>
              <w:t>（选题的来源，国内外</w:t>
            </w:r>
            <w:r>
              <w:rPr>
                <w:rFonts w:hint="eastAsia" w:ascii="仿宋_GB2312" w:eastAsia="仿宋_GB2312"/>
                <w:sz w:val="24"/>
                <w:highlight w:val="none"/>
              </w:rPr>
              <w:t>同类研究工作的现状、方法、难点等，前期准备工作</w:t>
            </w:r>
            <w:r>
              <w:rPr>
                <w:rFonts w:hint="eastAsia" w:ascii="仿宋_GB2312" w:hAnsi="宋体" w:eastAsia="仿宋_GB2312"/>
                <w:sz w:val="24"/>
                <w:highlight w:val="none"/>
              </w:rPr>
              <w:t>）</w:t>
            </w:r>
          </w:p>
        </w:tc>
      </w:tr>
      <w:tr w14:paraId="05F8BA83">
        <w:trPr>
          <w:trHeight w:val="6658" w:hRule="atLeast"/>
          <w:jc w:val="center"/>
        </w:trPr>
        <w:tc>
          <w:tcPr>
            <w:tcW w:w="481" w:type="dxa"/>
            <w:vMerge w:val="continue"/>
            <w:vAlign w:val="center"/>
          </w:tcPr>
          <w:p w14:paraId="4616C9E0">
            <w:pPr>
              <w:rPr>
                <w:sz w:val="22"/>
                <w:szCs w:val="22"/>
                <w:highlight w:val="none"/>
              </w:rPr>
            </w:pPr>
          </w:p>
        </w:tc>
        <w:tc>
          <w:tcPr>
            <w:tcW w:w="9458" w:type="dxa"/>
            <w:tcBorders>
              <w:top w:val="nil"/>
              <w:bottom w:val="single" w:color="auto" w:sz="4" w:space="0"/>
            </w:tcBorders>
          </w:tcPr>
          <w:p w14:paraId="734B70F6">
            <w:pPr>
              <w:spacing w:line="300" w:lineRule="auto"/>
              <w:rPr>
                <w:rFonts w:hint="eastAsia" w:ascii="宋体" w:hAnsi="宋体"/>
                <w:b/>
                <w:bCs/>
                <w:sz w:val="24"/>
                <w:highlight w:val="none"/>
              </w:rPr>
            </w:pPr>
            <w:r>
              <w:rPr>
                <w:rFonts w:hint="eastAsia" w:ascii="宋体" w:hAnsi="宋体"/>
                <w:b/>
                <w:bCs/>
                <w:sz w:val="24"/>
                <w:highlight w:val="none"/>
              </w:rPr>
              <w:t>1、选题来源</w:t>
            </w:r>
          </w:p>
          <w:p w14:paraId="4B093202">
            <w:pPr>
              <w:spacing w:line="300" w:lineRule="auto"/>
              <w:rPr>
                <w:rFonts w:hint="eastAsia" w:ascii="宋体" w:hAnsi="宋体"/>
                <w:sz w:val="24"/>
                <w:highlight w:val="none"/>
              </w:rPr>
            </w:pPr>
            <w:bookmarkStart w:id="2" w:name="_GoBack"/>
            <w:r>
              <w:rPr>
                <w:rFonts w:ascii="宋体" w:hAnsi="宋体"/>
                <w:sz w:val="24"/>
                <w:highlight w:val="none"/>
              </w:rPr>
              <w:t>课题来源于当前新能源电池制造行业安全治理的迫切需求。随着锂新能源电池产业规模快速扩张，新能源电池生产线的高度自动化与高风险并存的局面日益凸显，热失控、粉尘爆炸、电解液泄漏等事故呈现多点分布性与突发性，使传统人工巡检与事后响应模式难以满足现代化工厂的安全管理要求。在智能制造与虚拟现实技术不断成熟的背景下，将多传感融合的智能巡检机器人与虚拟现实感知系统深度结合，构建数字孪生式的事故预警与应急处置平台，已成为行业发展的重要方向。</w:t>
            </w:r>
          </w:p>
          <w:p w14:paraId="3AD04387">
            <w:pPr>
              <w:spacing w:line="300" w:lineRule="auto"/>
              <w:rPr>
                <w:rFonts w:hint="eastAsia" w:ascii="宋体" w:hAnsi="宋体"/>
                <w:sz w:val="24"/>
                <w:highlight w:val="none"/>
              </w:rPr>
            </w:pPr>
            <w:r>
              <w:rPr>
                <w:rFonts w:ascii="宋体" w:hAnsi="宋体"/>
                <w:sz w:val="24"/>
                <w:highlight w:val="none"/>
              </w:rPr>
              <w:t>在新能源电池生产场景中，极片烘烤、注液、化成分容等关键工序对环境温度、粉尘浓度、有害气体泄漏和设备运行稳定性极为敏感，对安全监测的实时性与精度提出更高要求；仓储物流区域则需实现对电芯堆垛温升、烟雾扩散等隐患的提前识别；而在危险作业区，传统人工巡查不仅效率低，而且存在人员暴露于高温、有毒气体环境中的安全隐患。因此，研发一套具备自主巡检、智能预警与现场应急处理能力的一体化机器人系统，并以虚拟现实技术实现工厂安全状态的可视化、沉浸式监控与远程操控，对于提升新能源电池制造企业的本质安全水平具有重要意义。</w:t>
            </w:r>
          </w:p>
          <w:p w14:paraId="62BB72D9">
            <w:pPr>
              <w:spacing w:line="300" w:lineRule="auto"/>
              <w:rPr>
                <w:rFonts w:hint="eastAsia" w:ascii="宋体" w:hAnsi="宋体"/>
                <w:sz w:val="24"/>
                <w:highlight w:val="none"/>
              </w:rPr>
            </w:pPr>
            <w:r>
              <w:rPr>
                <w:rFonts w:ascii="宋体" w:hAnsi="宋体"/>
                <w:sz w:val="24"/>
                <w:highlight w:val="none"/>
              </w:rPr>
              <w:t>当前行业亟需具备高可靠性、高感知能力以及可与数字孪生系统联动的智能装备，以实现从“风险监测 → 异常识别 → 预警决策 → 现场处置”的闭环管理。开展基于虚拟现实感知系统的事故预警处理一体化机器人研究，不仅能够推动新能源电池厂安全管理的智能化升级，更能为重大事故的提前预判与快速响应提供核心技术支撑，对保障产业链稳定运行和提升企业竞争力具有重要现实价值。</w:t>
            </w:r>
          </w:p>
          <w:bookmarkEnd w:id="2"/>
          <w:p w14:paraId="2AD94D23">
            <w:pPr>
              <w:spacing w:line="300" w:lineRule="auto"/>
              <w:rPr>
                <w:rFonts w:hint="eastAsia" w:ascii="宋体" w:hAnsi="宋体"/>
                <w:b/>
                <w:bCs/>
                <w:sz w:val="24"/>
                <w:highlight w:val="none"/>
              </w:rPr>
            </w:pPr>
            <w:r>
              <w:rPr>
                <w:rFonts w:hint="eastAsia" w:ascii="宋体" w:hAnsi="宋体"/>
                <w:b/>
                <w:bCs/>
                <w:sz w:val="24"/>
                <w:highlight w:val="none"/>
              </w:rPr>
              <w:t>2、国内外研究现状</w:t>
            </w:r>
          </w:p>
          <w:p w14:paraId="2328AB4F">
            <w:pPr>
              <w:spacing w:line="300" w:lineRule="auto"/>
              <w:rPr>
                <w:rFonts w:hint="eastAsia" w:ascii="宋体" w:hAnsi="宋体"/>
                <w:sz w:val="24"/>
                <w:highlight w:val="none"/>
              </w:rPr>
            </w:pPr>
            <w:r>
              <w:rPr>
                <w:rFonts w:hint="eastAsia" w:ascii="宋体" w:hAnsi="宋体"/>
                <w:sz w:val="24"/>
                <w:highlight w:val="none"/>
              </w:rPr>
              <w:t>国内外在工业安全监测与应急处置机器人领域已形成多方向、多技术路线并行发展的研究格局。国外方面，日本安川电机、美国波士顿动力等企业在工业巡检与特殊环境作业机器人上积累深厚，其 Spot 与 Stretch 平台通过激光雷达、深度摄像头及热成像传感器实现复杂工厂环境中的自主导航与隐患识别，能够对异常温升、设备振动和烟雾扩散进行早期判断；德国西门子则借助其数字孪生平台，将虚拟现实技术应用于化工与能源工厂的安全模拟，通过真实数据驱动的三维建模实现事故状态的可视化训练与远程操控，显著提升了工厂安全决策效率。在危险环境处置领域，美国消防机器人公司的 Thermite 系列高温作业机器人采用耐高热结构与远程喷射系统，可在火灾现场替代消防人员进行近距离灭火，但其体积较大、灵活性不足，适用于开放空间而难以进入新能源电池厂等狭窄区域。</w:t>
            </w:r>
          </w:p>
          <w:p w14:paraId="6A40BCF4">
            <w:pPr>
              <w:spacing w:line="300" w:lineRule="auto"/>
              <w:rPr>
                <w:rFonts w:hint="eastAsia" w:ascii="宋体" w:hAnsi="宋体"/>
                <w:sz w:val="24"/>
                <w:highlight w:val="none"/>
              </w:rPr>
            </w:pPr>
          </w:p>
          <w:p w14:paraId="509DD2E0">
            <w:pPr>
              <w:spacing w:line="300" w:lineRule="auto"/>
              <w:rPr>
                <w:rFonts w:hint="eastAsia" w:ascii="宋体" w:hAnsi="宋体"/>
                <w:sz w:val="24"/>
                <w:highlight w:val="none"/>
              </w:rPr>
            </w:pPr>
            <w:r>
              <w:rPr>
                <w:rFonts w:hint="eastAsia" w:ascii="宋体" w:hAnsi="宋体"/>
                <w:sz w:val="24"/>
                <w:highlight w:val="none"/>
              </w:rPr>
              <w:t>相比而言，国内相关研究虽起步晚，但在新能源电池制造场景的针对性探索取得快速进展。清华大学、中科院自动化所等机构围绕锂电厂粉尘爆炸与热失控特点开展多传感融合监测技术研究，通过红外热像、气体传感器与声学异常检测实现对新能源电池生产过程中微小变化的早期识别；华为及多家锂电设备企业推进数字孪生工厂建设，将 VR/AR 技术与生产线实时数据结合，实现对温度场、应力场及气体扩散的可视化分析；国内多家机器人企业推出面向新能源电池厂的巡检机器人，如海柔创新的热像巡检机器人、优必选具备远程操作功能的工业机器人平台，能够完成巡检、拍摄、温度检测及部分危险环境作业。</w:t>
            </w:r>
          </w:p>
          <w:p w14:paraId="51AFCD57">
            <w:pPr>
              <w:spacing w:line="300" w:lineRule="auto"/>
              <w:rPr>
                <w:rFonts w:hint="eastAsia" w:ascii="宋体" w:hAnsi="宋体"/>
                <w:sz w:val="24"/>
                <w:highlight w:val="none"/>
              </w:rPr>
            </w:pPr>
          </w:p>
          <w:p w14:paraId="7B6DC6EB">
            <w:pPr>
              <w:spacing w:line="300" w:lineRule="auto"/>
              <w:rPr>
                <w:rFonts w:hint="eastAsia" w:ascii="宋体" w:hAnsi="宋体"/>
                <w:sz w:val="24"/>
                <w:highlight w:val="none"/>
              </w:rPr>
            </w:pPr>
            <w:r>
              <w:rPr>
                <w:rFonts w:hint="eastAsia" w:ascii="宋体" w:hAnsi="宋体"/>
                <w:sz w:val="24"/>
                <w:highlight w:val="none"/>
              </w:rPr>
              <w:t>整体而言，国外在高可靠性平台与成熟的消防/应急机器人方向具备先发优势，而国内则在新能源电池工厂这一细分场景中形成了更具针对性的解决方案，但在虚拟现实与机器人链路融合、多源感知数据高效处理及应急处置一体化设计等方面仍存在明显差距。因此，开展基于虚拟现实感知系统的新能源电池厂事故预警处理一体化机器人研究，有望填补国内在“数字孪生 + 智能巡检 + 自动化应急”融合技术上的空白，为新能源电池制造领域的本质安全提升提供具有创新性的解决路径。</w:t>
            </w:r>
          </w:p>
          <w:p w14:paraId="20F59D39">
            <w:pPr>
              <w:spacing w:line="300" w:lineRule="auto"/>
              <w:rPr>
                <w:rFonts w:hint="eastAsia" w:ascii="宋体" w:hAnsi="宋体"/>
                <w:b/>
                <w:bCs/>
                <w:sz w:val="24"/>
                <w:highlight w:val="none"/>
              </w:rPr>
            </w:pPr>
            <w:r>
              <w:rPr>
                <w:rFonts w:hint="eastAsia" w:ascii="宋体" w:hAnsi="宋体"/>
                <w:b/>
                <w:bCs/>
                <w:sz w:val="24"/>
                <w:highlight w:val="none"/>
              </w:rPr>
              <w:t>3、研究方法与难点</w:t>
            </w:r>
          </w:p>
          <w:p w14:paraId="7FFD3649">
            <w:pPr>
              <w:spacing w:line="300" w:lineRule="auto"/>
              <w:rPr>
                <w:rFonts w:hint="eastAsia" w:ascii="宋体" w:hAnsi="宋体"/>
                <w:sz w:val="24"/>
                <w:highlight w:val="none"/>
              </w:rPr>
            </w:pPr>
            <w:r>
              <w:rPr>
                <w:rFonts w:ascii="宋体" w:hAnsi="宋体"/>
                <w:sz w:val="24"/>
                <w:highlight w:val="none"/>
              </w:rPr>
              <w:t>本研究将综合运用多种研究方法，确保系统设计的科学性、合理性与工程可实施性。首先，采用文献研究法系统梳理近年来国内外在新能源电池厂安全监测、智能巡检机器人、虚拟现实感知系统、多传感融合预警等方面的技术文献，为系统架构构建、感知模型设计和 VR–机器人联动方案提供理论基础；其次，通过案例分析法，对日本安川、Boston Dynamics、华为数字孪生工厂等典型智能巡检平台与应急处理机器人进行深度剖析，从硬件配置、导航策略、预警算法到应急执行机构结构中提炼可借鉴的经验；同时借助跨学科研究法，将机器人学、传感器技术、热失控机理分析、虚拟现实建模及人机交互等多领域知识综合应用于系统设计中，实现从感知、决策到执行全链路的协同优化。</w:t>
            </w:r>
          </w:p>
          <w:p w14:paraId="3018916C">
            <w:pPr>
              <w:spacing w:line="300" w:lineRule="auto"/>
              <w:rPr>
                <w:rFonts w:hint="eastAsia" w:ascii="宋体" w:hAnsi="宋体"/>
                <w:sz w:val="24"/>
                <w:highlight w:val="none"/>
              </w:rPr>
            </w:pPr>
            <w:r>
              <w:rPr>
                <w:rFonts w:ascii="宋体" w:hAnsi="宋体"/>
                <w:sz w:val="24"/>
                <w:highlight w:val="none"/>
              </w:rPr>
              <w:t>研究过程中预计将面临三大核心难点：其一是多源数据融合的算法构建难度较高，需将热成像、可视化光学、气体浓度、粉尘监测、声学振动等多类型传感器数据在噪声环境下实现高精度融合，以提高异常状态识别的鲁棒性；其二是虚拟现实感知系统的实时性要求高，如何在新能源电池厂复杂场景中构建高保真数字孪生模型，并使真实机器人运行状态、环境参数与 VR 场景保持毫秒级同步，是影响系统可用性的关键技术瓶颈；其三是机器人应急处理结构设计挑战大，既需保证机器人具备灵活的移动与定位能力，还要在有限空间内集成喷淋装置、断电模块、机械臂等处置机构，同时确保整体系统具备防爆、防腐蚀与高温环境下的可靠性。最终将通过实验测试与 VR 模拟验证系统的准确性与可行性，确保该一体化平台在新能源电池厂真实场景中具备实际应用价值。</w:t>
            </w:r>
          </w:p>
          <w:p w14:paraId="75753D11">
            <w:pPr>
              <w:spacing w:line="300" w:lineRule="auto"/>
              <w:rPr>
                <w:rFonts w:hint="eastAsia" w:ascii="宋体" w:hAnsi="宋体"/>
                <w:b/>
                <w:bCs/>
                <w:sz w:val="24"/>
                <w:highlight w:val="none"/>
              </w:rPr>
            </w:pPr>
            <w:r>
              <w:rPr>
                <w:rFonts w:hint="eastAsia" w:ascii="宋体" w:hAnsi="宋体"/>
                <w:b/>
                <w:bCs/>
                <w:sz w:val="24"/>
                <w:highlight w:val="none"/>
              </w:rPr>
              <w:t>4、前期准备工作</w:t>
            </w:r>
          </w:p>
          <w:p w14:paraId="2DB4A3B2">
            <w:pPr>
              <w:spacing w:line="300" w:lineRule="auto"/>
              <w:ind w:firstLine="480" w:firstLineChars="200"/>
              <w:rPr>
                <w:rFonts w:hint="eastAsia" w:ascii="宋体" w:hAnsi="宋体"/>
                <w:sz w:val="24"/>
                <w:highlight w:val="none"/>
              </w:rPr>
            </w:pPr>
            <w:r>
              <w:rPr>
                <w:rFonts w:ascii="宋体" w:hAnsi="宋体"/>
                <w:sz w:val="24"/>
                <w:highlight w:val="none"/>
              </w:rPr>
              <w:t>为保障本研究顺利推进，前期已完成多方面的准备工作。（1）</w:t>
            </w:r>
            <w:r>
              <w:rPr>
                <w:rFonts w:ascii="宋体" w:hAnsi="宋体"/>
                <w:b/>
                <w:bCs/>
                <w:sz w:val="24"/>
                <w:highlight w:val="none"/>
              </w:rPr>
              <w:t>知识储备方面</w:t>
            </w:r>
            <w:r>
              <w:rPr>
                <w:rFonts w:ascii="宋体" w:hAnsi="宋体"/>
                <w:sz w:val="24"/>
                <w:highlight w:val="none"/>
              </w:rPr>
              <w:t>，团队成员系统学习了虚拟现实建模、新能源电池厂工艺流程与典型事故机理等内容，初步构建了涵盖机器人感知、VR 技术与工业安全的交叉知识体系，为后续系统设计奠定了理论基础；（2）</w:t>
            </w:r>
            <w:r>
              <w:rPr>
                <w:rFonts w:ascii="宋体" w:hAnsi="宋体"/>
                <w:b/>
                <w:bCs/>
                <w:sz w:val="24"/>
                <w:highlight w:val="none"/>
              </w:rPr>
              <w:t>资料收集方面</w:t>
            </w:r>
            <w:r>
              <w:rPr>
                <w:rFonts w:ascii="宋体" w:hAnsi="宋体"/>
                <w:sz w:val="24"/>
                <w:highlight w:val="none"/>
              </w:rPr>
              <w:t>，团队已整理大量国内外相关文献、行业白皮书及技术专利，重点分析了近五年在 ICRA、IROS等国际顶会中有关巡检机器人、多传感融合和数字孪生安全监测的最新研究成果，掌握了行业最新技术趋势及应用现状；（3）</w:t>
            </w:r>
            <w:r>
              <w:rPr>
                <w:rFonts w:ascii="宋体" w:hAnsi="宋体"/>
                <w:b/>
                <w:bCs/>
                <w:sz w:val="24"/>
                <w:highlight w:val="none"/>
              </w:rPr>
              <w:t>团队组建方面</w:t>
            </w:r>
            <w:r>
              <w:rPr>
                <w:rFonts w:ascii="宋体" w:hAnsi="宋体"/>
                <w:sz w:val="24"/>
                <w:highlight w:val="none"/>
              </w:rPr>
              <w:t>，项目组由来自工业设计方向的学生组成，具备机器人结构设计、Unity/UE VR 场景搭建、多传感数据处理与三维建模等多领域能力，可满足系统研发的综合需求；（4）</w:t>
            </w:r>
            <w:r>
              <w:rPr>
                <w:rFonts w:ascii="宋体" w:hAnsi="宋体"/>
                <w:b/>
                <w:bCs/>
                <w:sz w:val="24"/>
                <w:highlight w:val="none"/>
              </w:rPr>
              <w:t>实验条件方面</w:t>
            </w:r>
            <w:r>
              <w:rPr>
                <w:rFonts w:ascii="宋体" w:hAnsi="宋体"/>
                <w:sz w:val="24"/>
                <w:highlight w:val="none"/>
              </w:rPr>
              <w:t>，依托学院实验室，团队具备巡检机器人底盘、红外热像仪等测试设备，并拥有 Unity/ROS 仿真环境及 VR 头显，可完成虚实同步系统构建。同时，实验室配备高精度 3D 打印设备，支持多种材料原型制造，可用于测试机器人结构件、传感器安装座以及应急装置原型，为后续功能验证与性能测试提供有力支撑，确保研究工作的科学性与可行性。</w:t>
            </w:r>
          </w:p>
        </w:tc>
      </w:tr>
      <w:tr w14:paraId="4E81AD2C">
        <w:trPr>
          <w:trHeight w:val="593" w:hRule="atLeast"/>
          <w:jc w:val="center"/>
        </w:trPr>
        <w:tc>
          <w:tcPr>
            <w:tcW w:w="481" w:type="dxa"/>
            <w:vMerge w:val="restart"/>
            <w:vAlign w:val="center"/>
          </w:tcPr>
          <w:p w14:paraId="3217D4B6">
            <w:pPr>
              <w:rPr>
                <w:b/>
                <w:sz w:val="24"/>
                <w:highlight w:val="none"/>
              </w:rPr>
            </w:pPr>
            <w:r>
              <w:rPr>
                <w:rFonts w:hint="eastAsia"/>
                <w:sz w:val="22"/>
                <w:szCs w:val="22"/>
                <w:highlight w:val="none"/>
              </w:rPr>
              <w:tab/>
            </w:r>
            <w:r>
              <w:rPr>
                <w:rFonts w:hint="eastAsia"/>
                <w:b/>
                <w:sz w:val="24"/>
                <w:highlight w:val="none"/>
              </w:rPr>
              <w:t>项</w:t>
            </w:r>
          </w:p>
          <w:p w14:paraId="57480888">
            <w:pPr>
              <w:rPr>
                <w:b/>
                <w:sz w:val="24"/>
                <w:highlight w:val="none"/>
              </w:rPr>
            </w:pPr>
            <w:r>
              <w:rPr>
                <w:rFonts w:hint="eastAsia"/>
                <w:b/>
                <w:sz w:val="24"/>
                <w:highlight w:val="none"/>
              </w:rPr>
              <w:t>目</w:t>
            </w:r>
          </w:p>
          <w:p w14:paraId="017C2F03">
            <w:pPr>
              <w:rPr>
                <w:b/>
                <w:sz w:val="24"/>
                <w:highlight w:val="none"/>
              </w:rPr>
            </w:pPr>
            <w:r>
              <w:rPr>
                <w:rFonts w:hint="eastAsia"/>
                <w:b/>
                <w:sz w:val="24"/>
                <w:highlight w:val="none"/>
              </w:rPr>
              <w:t>申请理由</w:t>
            </w:r>
          </w:p>
        </w:tc>
        <w:tc>
          <w:tcPr>
            <w:tcW w:w="9458" w:type="dxa"/>
            <w:tcBorders>
              <w:bottom w:val="nil"/>
            </w:tcBorders>
          </w:tcPr>
          <w:p w14:paraId="14244542">
            <w:pPr>
              <w:spacing w:line="300" w:lineRule="auto"/>
              <w:rPr>
                <w:rFonts w:hint="eastAsia" w:ascii="仿宋_GB2312" w:hAnsi="宋体" w:eastAsia="仿宋_GB2312"/>
                <w:sz w:val="24"/>
                <w:highlight w:val="none"/>
              </w:rPr>
            </w:pPr>
            <w:r>
              <w:rPr>
                <w:rFonts w:hint="eastAsia" w:ascii="仿宋_GB2312" w:hAnsi="宋体" w:eastAsia="仿宋_GB2312"/>
                <w:sz w:val="24"/>
                <w:highlight w:val="none"/>
              </w:rPr>
              <w:t>（项目团队成员具备的知识基础、能力素养、兴趣特长和已参加的科研等条件）</w:t>
            </w:r>
          </w:p>
        </w:tc>
      </w:tr>
      <w:tr w14:paraId="60EDD0CA">
        <w:trPr>
          <w:trHeight w:val="4494" w:hRule="atLeast"/>
          <w:jc w:val="center"/>
        </w:trPr>
        <w:tc>
          <w:tcPr>
            <w:tcW w:w="481" w:type="dxa"/>
            <w:vMerge w:val="continue"/>
            <w:vAlign w:val="center"/>
          </w:tcPr>
          <w:p w14:paraId="5FDD5F2A">
            <w:pPr>
              <w:rPr>
                <w:sz w:val="22"/>
                <w:szCs w:val="22"/>
                <w:highlight w:val="none"/>
              </w:rPr>
            </w:pPr>
          </w:p>
        </w:tc>
        <w:tc>
          <w:tcPr>
            <w:tcW w:w="9458" w:type="dxa"/>
            <w:tcBorders>
              <w:top w:val="nil"/>
            </w:tcBorders>
          </w:tcPr>
          <w:p w14:paraId="66609FD8">
            <w:pPr>
              <w:spacing w:line="300" w:lineRule="auto"/>
              <w:rPr>
                <w:rFonts w:hint="eastAsia" w:ascii="宋体" w:hAnsi="宋体"/>
                <w:sz w:val="24"/>
                <w:highlight w:val="none"/>
              </w:rPr>
            </w:pPr>
            <w:r>
              <w:rPr>
                <w:rFonts w:ascii="宋体" w:hAnsi="宋体"/>
                <w:sz w:val="24"/>
                <w:highlight w:val="none"/>
              </w:rPr>
              <w:t>本项目团队成员具备扎实的专业基础与明确的研究兴趣，在机器人技术、虚拟现实系统和智能感知方向拥有良好的理论积累与实践能力，能够满足本课题跨学科综合研究的需求。团队中机械工程方向成员掌握机器人结构设计、动力学分析、传感器安装布局及实际加工工艺，对巡检机器人底盘设计、应急执行机构开发等任务具备较高的实践能力；工业设计与数字媒体方向成员精通 Unity/UE 场景搭建、三维建模、VR 交互设计，具备数字孪生与可视化系统开发能力，可承担虚拟现实感知平台的整体构建。</w:t>
            </w:r>
          </w:p>
          <w:p w14:paraId="23E10859">
            <w:pPr>
              <w:spacing w:line="300" w:lineRule="auto"/>
              <w:rPr>
                <w:rFonts w:hint="eastAsia" w:ascii="宋体" w:hAnsi="宋体"/>
                <w:sz w:val="24"/>
                <w:highlight w:val="none"/>
              </w:rPr>
            </w:pPr>
            <w:r>
              <w:rPr>
                <w:rFonts w:ascii="宋体" w:hAnsi="宋体"/>
                <w:sz w:val="24"/>
                <w:highlight w:val="none"/>
              </w:rPr>
              <w:t>团队成员普遍对智能制造、安全监测机器人、虚拟现实技术等领域具有浓厚兴趣，多名成员曾参与学院机器人竞赛、虚拟仿真系统建设、智能巡检实验等项目，在技术预研、方案设计与软件开发方面积累了丰富经验。部分成员已参与导师横向课题或校级科研项目，如工业环境巡检机器人研究、热失控早期诊断算法探索、VR 安全培训系统开发等，为本项目提供了良好的科研实践基础。此外，团队具备良好的合作能力、工程动手能力与项目执行力，能够在导师指导下高质量完成本课题的系统设计、功能实现与实验验证工作。</w:t>
            </w:r>
          </w:p>
          <w:p w14:paraId="4A98BF40">
            <w:pPr>
              <w:spacing w:line="300" w:lineRule="auto"/>
              <w:rPr>
                <w:rFonts w:hint="eastAsia" w:ascii="宋体" w:hAnsi="宋体"/>
                <w:sz w:val="24"/>
                <w:highlight w:val="none"/>
              </w:rPr>
            </w:pPr>
          </w:p>
        </w:tc>
      </w:tr>
    </w:tbl>
    <w:p w14:paraId="1E6FCDB8">
      <w:pPr>
        <w:spacing w:before="312" w:beforeLines="100" w:after="156" w:afterLines="50"/>
        <w:ind w:right="-512" w:rightChars="-244"/>
        <w:rPr>
          <w:b/>
          <w:sz w:val="32"/>
          <w:szCs w:val="32"/>
        </w:rPr>
      </w:pPr>
      <w:r>
        <w:rPr>
          <w:b/>
          <w:sz w:val="32"/>
          <w:szCs w:val="32"/>
        </w:rPr>
        <w:br w:type="page"/>
      </w:r>
      <w:r>
        <w:rPr>
          <w:rFonts w:hint="eastAsia"/>
          <w:b/>
          <w:sz w:val="32"/>
          <w:szCs w:val="32"/>
        </w:rPr>
        <w:t>三、项目研究内容</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058EB23E">
        <w:trPr>
          <w:trHeight w:val="599" w:hRule="atLeast"/>
          <w:jc w:val="center"/>
        </w:trPr>
        <w:tc>
          <w:tcPr>
            <w:tcW w:w="481" w:type="dxa"/>
            <w:vMerge w:val="restart"/>
            <w:vAlign w:val="center"/>
          </w:tcPr>
          <w:p w14:paraId="4233DABE">
            <w:pPr>
              <w:rPr>
                <w:b/>
                <w:sz w:val="24"/>
              </w:rPr>
            </w:pPr>
            <w:r>
              <w:rPr>
                <w:rFonts w:hint="eastAsia"/>
                <w:b/>
                <w:sz w:val="24"/>
                <w:szCs w:val="22"/>
              </w:rPr>
              <w:t>项目研究的主要内容及目标</w:t>
            </w:r>
          </w:p>
        </w:tc>
        <w:tc>
          <w:tcPr>
            <w:tcW w:w="9458" w:type="dxa"/>
            <w:tcBorders>
              <w:bottom w:val="nil"/>
            </w:tcBorders>
          </w:tcPr>
          <w:p w14:paraId="5A5B8F20">
            <w:pPr>
              <w:spacing w:line="300" w:lineRule="auto"/>
              <w:rPr>
                <w:rFonts w:hint="eastAsia" w:ascii="仿宋_GB2312" w:hAnsi="宋体" w:eastAsia="仿宋_GB2312"/>
                <w:sz w:val="24"/>
              </w:rPr>
            </w:pPr>
            <w:r>
              <w:rPr>
                <w:rFonts w:hint="eastAsia" w:ascii="仿宋_GB2312" w:hAnsi="宋体" w:eastAsia="仿宋_GB2312"/>
                <w:sz w:val="24"/>
              </w:rPr>
              <w:t>（主要研究内容，重点和难点，研究思路和方法等）</w:t>
            </w:r>
          </w:p>
        </w:tc>
      </w:tr>
      <w:tr w14:paraId="475C2C8A">
        <w:trPr>
          <w:trHeight w:val="3386" w:hRule="atLeast"/>
          <w:jc w:val="center"/>
        </w:trPr>
        <w:tc>
          <w:tcPr>
            <w:tcW w:w="481" w:type="dxa"/>
            <w:vMerge w:val="continue"/>
            <w:vAlign w:val="center"/>
          </w:tcPr>
          <w:p w14:paraId="4E58B26A">
            <w:pPr>
              <w:rPr>
                <w:b/>
                <w:sz w:val="24"/>
                <w:szCs w:val="22"/>
              </w:rPr>
            </w:pPr>
          </w:p>
        </w:tc>
        <w:tc>
          <w:tcPr>
            <w:tcW w:w="9458" w:type="dxa"/>
            <w:tcBorders>
              <w:top w:val="nil"/>
            </w:tcBorders>
          </w:tcPr>
          <w:p w14:paraId="4CF8EEB2">
            <w:pPr>
              <w:spacing w:line="300" w:lineRule="auto"/>
              <w:ind w:firstLine="482" w:firstLineChars="200"/>
              <w:rPr>
                <w:rFonts w:hint="eastAsia" w:ascii="宋体" w:hAnsi="宋体"/>
                <w:b/>
                <w:bCs/>
                <w:sz w:val="24"/>
              </w:rPr>
            </w:pPr>
            <w:r>
              <w:rPr>
                <w:rFonts w:ascii="宋体" w:hAnsi="宋体"/>
                <w:b/>
                <w:bCs/>
                <w:sz w:val="24"/>
              </w:rPr>
              <w:t>1、研究内容</w:t>
            </w:r>
          </w:p>
          <w:p w14:paraId="04E9F6AA">
            <w:pPr>
              <w:spacing w:line="300" w:lineRule="auto"/>
              <w:ind w:firstLine="480" w:firstLineChars="200"/>
              <w:rPr>
                <w:rFonts w:hint="eastAsia" w:ascii="宋体" w:hAnsi="宋体"/>
                <w:sz w:val="24"/>
              </w:rPr>
            </w:pPr>
            <w:r>
              <w:rPr>
                <w:rFonts w:ascii="宋体" w:hAnsi="宋体"/>
                <w:sz w:val="24"/>
              </w:rPr>
              <w:t>本研究将围绕新能源电池厂复杂工况下的安全预警与应急处理需求，完成“虚拟现实感知系统 + 多源监测 + 自主巡检 + 应急处置”一体化机器人的系统化设计与验证。</w:t>
            </w:r>
            <w:r>
              <w:rPr>
                <w:rFonts w:ascii="宋体" w:hAnsi="宋体"/>
                <w:sz w:val="24"/>
              </w:rPr>
              <w:br w:type="textWrapping"/>
            </w:r>
            <w:r>
              <w:rPr>
                <w:rFonts w:ascii="宋体" w:hAnsi="宋体"/>
                <w:sz w:val="24"/>
              </w:rPr>
              <w:t>（1）</w:t>
            </w:r>
            <w:r>
              <w:rPr>
                <w:rFonts w:ascii="宋体" w:hAnsi="宋体"/>
                <w:b/>
                <w:bCs/>
                <w:sz w:val="24"/>
              </w:rPr>
              <w:t>事故预警机制设计</w:t>
            </w:r>
            <w:r>
              <w:rPr>
                <w:rFonts w:ascii="宋体" w:hAnsi="宋体"/>
                <w:sz w:val="24"/>
              </w:rPr>
              <w:br w:type="textWrapping"/>
            </w:r>
            <w:r>
              <w:rPr>
                <w:rFonts w:ascii="宋体" w:hAnsi="宋体"/>
                <w:sz w:val="24"/>
              </w:rPr>
              <w:t>在充分理解锂新能源电池生产工序及典型风险因素的基础上，通过多源传感器（红外热像、气体浓度、粉尘检测、可见光图像、声学振动等）构建多维度环境感知网络。利用数据融合与异常检测算法，实现温度异常、热失控前兆、电解液泄漏、烟雾生成等潜在事故的早期预警，提高整体监测敏感度与准确性。</w:t>
            </w:r>
            <w:r>
              <w:rPr>
                <w:rFonts w:ascii="宋体" w:hAnsi="宋体"/>
                <w:sz w:val="24"/>
              </w:rPr>
              <w:br w:type="textWrapping"/>
            </w:r>
            <w:r>
              <w:rPr>
                <w:rFonts w:ascii="宋体" w:hAnsi="宋体"/>
                <w:sz w:val="24"/>
              </w:rPr>
              <w:t>（2）</w:t>
            </w:r>
            <w:r>
              <w:rPr>
                <w:rFonts w:ascii="宋体" w:hAnsi="宋体"/>
                <w:b/>
                <w:bCs/>
                <w:sz w:val="24"/>
              </w:rPr>
              <w:t>虚拟现实感知系统构建</w:t>
            </w:r>
            <w:r>
              <w:rPr>
                <w:rFonts w:ascii="宋体" w:hAnsi="宋体"/>
                <w:sz w:val="24"/>
              </w:rPr>
              <w:br w:type="textWrapping"/>
            </w:r>
            <w:r>
              <w:rPr>
                <w:rFonts w:ascii="宋体" w:hAnsi="宋体"/>
                <w:sz w:val="24"/>
              </w:rPr>
              <w:t>基于 Unity/UE 搭建高保真新能源电池厂数字孪生场景，将机器人位置、传感器反馈、事故状态等信息实时映射，实现对工厂安全状态的沉浸式可视化监控。通过 VR 交互界面，允许用户查看温升分布、气体扩散模拟、巡检路径、报警点位等关键数据，打造直观的人机交互平台。</w:t>
            </w:r>
            <w:r>
              <w:rPr>
                <w:rFonts w:ascii="宋体" w:hAnsi="宋体"/>
                <w:sz w:val="24"/>
              </w:rPr>
              <w:br w:type="textWrapping"/>
            </w:r>
            <w:r>
              <w:rPr>
                <w:rFonts w:ascii="宋体" w:hAnsi="宋体"/>
                <w:sz w:val="24"/>
              </w:rPr>
              <w:t>（3）</w:t>
            </w:r>
            <w:r>
              <w:rPr>
                <w:rFonts w:ascii="宋体" w:hAnsi="宋体"/>
                <w:b/>
                <w:bCs/>
                <w:sz w:val="24"/>
              </w:rPr>
              <w:t>一体化机器人的应急处理模块设计</w:t>
            </w:r>
            <w:r>
              <w:rPr>
                <w:rFonts w:ascii="宋体" w:hAnsi="宋体"/>
                <w:sz w:val="24"/>
              </w:rPr>
              <w:br w:type="textWrapping"/>
            </w:r>
            <w:r>
              <w:rPr>
                <w:rFonts w:ascii="宋体" w:hAnsi="宋体"/>
                <w:sz w:val="24"/>
              </w:rPr>
              <w:t>在满足巡检能力的基础上，设计适用于新能源电池厂的轻量化应急执行模块，例如气溶胶灭火装置、局部喷雾降温装置、紧急断电模块或机械臂进行危险物品转移。结构设计需兼顾复杂环境下的操作半径、重量分布与机动性，使机器人在突发事故发生时能快速执行应急动作。</w:t>
            </w:r>
            <w:r>
              <w:rPr>
                <w:rFonts w:ascii="宋体" w:hAnsi="宋体"/>
                <w:sz w:val="24"/>
              </w:rPr>
              <w:br w:type="textWrapping"/>
            </w:r>
            <w:r>
              <w:rPr>
                <w:rFonts w:ascii="宋体" w:hAnsi="宋体"/>
                <w:sz w:val="24"/>
              </w:rPr>
              <w:t>（4）</w:t>
            </w:r>
            <w:r>
              <w:rPr>
                <w:rFonts w:ascii="宋体" w:hAnsi="宋体"/>
                <w:b/>
                <w:bCs/>
                <w:sz w:val="24"/>
              </w:rPr>
              <w:t>机器人自主巡检系统开发</w:t>
            </w:r>
            <w:r>
              <w:rPr>
                <w:rFonts w:ascii="宋体" w:hAnsi="宋体"/>
                <w:sz w:val="24"/>
              </w:rPr>
              <w:br w:type="textWrapping"/>
            </w:r>
            <w:r>
              <w:rPr>
                <w:rFonts w:ascii="宋体" w:hAnsi="宋体"/>
                <w:sz w:val="24"/>
              </w:rPr>
              <w:t>集成激光雷达、深度相机等定位与导航传感器，构建自主巡检路径规划系统，使机器人能够完成重复而高风险的巡检任务。通过避障、动态导航与区域巡查策略，提高巡检效率并确保机器人在狭窄空间的稳定运行。</w:t>
            </w:r>
          </w:p>
          <w:p w14:paraId="1EA87CA0">
            <w:pPr>
              <w:spacing w:line="300" w:lineRule="auto"/>
              <w:ind w:firstLine="480" w:firstLineChars="200"/>
              <w:rPr>
                <w:rFonts w:hint="eastAsia" w:ascii="宋体" w:hAnsi="宋体"/>
                <w:sz w:val="24"/>
              </w:rPr>
            </w:pPr>
            <w:r>
              <w:rPr>
                <w:rFonts w:ascii="宋体" w:hAnsi="宋体"/>
                <w:sz w:val="24"/>
              </w:rPr>
              <w:pict>
                <v:rect id="_x0000_i1025" o:spt="1" style="height:1.5pt;width:0pt;" fillcolor="#A0A0A0" filled="t" stroked="f" coordsize="21600,21600" o:hr="t" o:hrstd="t" o:hralign="center">
                  <v:path/>
                  <v:fill on="t" focussize="0,0"/>
                  <v:stroke on="f"/>
                  <v:imagedata o:title=""/>
                  <o:lock v:ext="edit"/>
                  <w10:wrap type="none"/>
                  <w10:anchorlock/>
                </v:rect>
              </w:pict>
            </w:r>
          </w:p>
          <w:p w14:paraId="40C1C7B0">
            <w:pPr>
              <w:spacing w:line="300" w:lineRule="auto"/>
              <w:ind w:firstLine="482" w:firstLineChars="200"/>
              <w:rPr>
                <w:rFonts w:hint="eastAsia" w:ascii="宋体" w:hAnsi="宋体"/>
                <w:b/>
                <w:bCs/>
                <w:sz w:val="24"/>
              </w:rPr>
            </w:pPr>
            <w:r>
              <w:rPr>
                <w:rFonts w:ascii="宋体" w:hAnsi="宋体"/>
                <w:b/>
                <w:bCs/>
                <w:sz w:val="24"/>
              </w:rPr>
              <w:t>2、重点和难点</w:t>
            </w:r>
          </w:p>
          <w:p w14:paraId="6516824D">
            <w:pPr>
              <w:spacing w:line="300" w:lineRule="auto"/>
              <w:ind w:firstLine="480" w:firstLineChars="200"/>
              <w:rPr>
                <w:rFonts w:hint="eastAsia" w:ascii="宋体" w:hAnsi="宋体"/>
                <w:sz w:val="24"/>
              </w:rPr>
            </w:pPr>
            <w:r>
              <w:rPr>
                <w:rFonts w:ascii="宋体" w:hAnsi="宋体"/>
                <w:sz w:val="24"/>
              </w:rPr>
              <w:t>（1）</w:t>
            </w:r>
            <w:r>
              <w:rPr>
                <w:rFonts w:ascii="宋体" w:hAnsi="宋体"/>
                <w:b/>
                <w:bCs/>
                <w:sz w:val="24"/>
              </w:rPr>
              <w:t>多源传感融合与早期预警算法的复杂性</w:t>
            </w:r>
            <w:r>
              <w:rPr>
                <w:rFonts w:ascii="宋体" w:hAnsi="宋体"/>
                <w:sz w:val="24"/>
              </w:rPr>
              <w:br w:type="textWrapping"/>
            </w:r>
            <w:r>
              <w:rPr>
                <w:rFonts w:ascii="宋体" w:hAnsi="宋体"/>
                <w:sz w:val="24"/>
              </w:rPr>
              <w:t>新能源电池厂环境中的温度、粉尘、气体泄漏及设备运行噪声具有显著不确定性，实现热成像、气体浓度、图像、振动等多模态数据的实时融合面临噪声干扰强、数据量大、时效性高等挑战。如何通过融合算法提高预警的准确性与可靠性，是项目的核心难点之一。</w:t>
            </w:r>
          </w:p>
          <w:p w14:paraId="2B91BC3C">
            <w:pPr>
              <w:spacing w:line="300" w:lineRule="auto"/>
              <w:ind w:firstLine="480" w:firstLineChars="200"/>
              <w:rPr>
                <w:rFonts w:hint="eastAsia" w:ascii="宋体" w:hAnsi="宋体"/>
                <w:sz w:val="24"/>
              </w:rPr>
            </w:pPr>
            <w:r>
              <w:rPr>
                <w:rFonts w:ascii="宋体" w:hAnsi="宋体"/>
                <w:sz w:val="24"/>
              </w:rPr>
              <w:t>（2）</w:t>
            </w:r>
            <w:r>
              <w:rPr>
                <w:rFonts w:ascii="宋体" w:hAnsi="宋体"/>
                <w:b/>
                <w:bCs/>
                <w:sz w:val="24"/>
              </w:rPr>
              <w:t>虚拟现实系统与真实机器人状态的实时同步</w:t>
            </w:r>
            <w:r>
              <w:rPr>
                <w:rFonts w:ascii="宋体" w:hAnsi="宋体"/>
                <w:sz w:val="24"/>
              </w:rPr>
              <w:br w:type="textWrapping"/>
            </w:r>
            <w:r>
              <w:rPr>
                <w:rFonts w:ascii="宋体" w:hAnsi="宋体"/>
                <w:sz w:val="24"/>
              </w:rPr>
              <w:t>VR 场景需要实时显示机器人位置、传感器数据和事故信息，对数据传输延迟、网络架构以及渲染性能要求极高。在复杂工厂环境下保持虚实同步，是影响系统可用性的关键技术门槛。</w:t>
            </w:r>
          </w:p>
          <w:p w14:paraId="10EF11BB">
            <w:pPr>
              <w:spacing w:line="300" w:lineRule="auto"/>
              <w:ind w:firstLine="480" w:firstLineChars="200"/>
              <w:rPr>
                <w:rFonts w:hint="eastAsia" w:ascii="宋体" w:hAnsi="宋体"/>
                <w:sz w:val="24"/>
              </w:rPr>
            </w:pPr>
            <w:r>
              <w:rPr>
                <w:rFonts w:ascii="宋体" w:hAnsi="宋体"/>
                <w:sz w:val="24"/>
              </w:rPr>
              <w:t>（3）</w:t>
            </w:r>
            <w:r>
              <w:rPr>
                <w:rFonts w:ascii="宋体" w:hAnsi="宋体"/>
                <w:b/>
                <w:bCs/>
                <w:sz w:val="24"/>
              </w:rPr>
              <w:t>应急处理模块的结构紧凑性与适应性</w:t>
            </w:r>
            <w:r>
              <w:rPr>
                <w:rFonts w:ascii="宋体" w:hAnsi="宋体"/>
                <w:sz w:val="24"/>
              </w:rPr>
              <w:br w:type="textWrapping"/>
            </w:r>
            <w:r>
              <w:rPr>
                <w:rFonts w:ascii="宋体" w:hAnsi="宋体"/>
                <w:sz w:val="24"/>
              </w:rPr>
              <w:t>新能源电池厂路径狭窄、环境危险，其机器人执行机构必须在有限空间内实现喷淋、灭火、降温或断电等动作。如何在轻量化、模块化结构中集成可靠的应急装置，同时保证机器人机动性，是设计中的重要难点。</w:t>
            </w:r>
          </w:p>
          <w:p w14:paraId="3E87F4CC">
            <w:pPr>
              <w:spacing w:line="300" w:lineRule="auto"/>
              <w:ind w:firstLine="480" w:firstLineChars="200"/>
              <w:rPr>
                <w:rFonts w:hint="eastAsia" w:ascii="宋体" w:hAnsi="宋体"/>
                <w:sz w:val="24"/>
              </w:rPr>
            </w:pPr>
            <w:r>
              <w:rPr>
                <w:rFonts w:ascii="宋体" w:hAnsi="宋体"/>
                <w:sz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00C702FD">
            <w:pPr>
              <w:spacing w:line="300" w:lineRule="auto"/>
              <w:ind w:firstLine="482" w:firstLineChars="200"/>
              <w:rPr>
                <w:rFonts w:hint="eastAsia" w:ascii="宋体" w:hAnsi="宋体"/>
                <w:b/>
                <w:bCs/>
                <w:sz w:val="24"/>
              </w:rPr>
            </w:pPr>
            <w:r>
              <w:rPr>
                <w:rFonts w:ascii="宋体" w:hAnsi="宋体"/>
                <w:b/>
                <w:bCs/>
                <w:sz w:val="24"/>
              </w:rPr>
              <w:t>3、研究思路和方法</w:t>
            </w:r>
          </w:p>
          <w:p w14:paraId="6DCA6552">
            <w:pPr>
              <w:spacing w:line="300" w:lineRule="auto"/>
              <w:ind w:firstLine="480" w:firstLineChars="200"/>
              <w:rPr>
                <w:rFonts w:hint="eastAsia" w:ascii="宋体" w:hAnsi="宋体"/>
                <w:sz w:val="24"/>
              </w:rPr>
            </w:pPr>
            <w:r>
              <w:rPr>
                <w:rFonts w:ascii="宋体" w:hAnsi="宋体"/>
                <w:sz w:val="24"/>
              </w:rPr>
              <w:t>本研究从新能源电池厂实际应用需求出发，对典型事故特征、监测指标与应急动作进行系统分析，构建“感知—预警—可视化—处置”的完整技术链。研究总体流程如下：</w:t>
            </w:r>
            <w:r>
              <w:rPr>
                <w:rFonts w:ascii="宋体" w:hAnsi="宋体"/>
                <w:sz w:val="24"/>
              </w:rPr>
              <w:br w:type="textWrapping"/>
            </w:r>
            <w:r>
              <w:rPr>
                <w:rFonts w:ascii="宋体" w:hAnsi="宋体"/>
                <w:sz w:val="24"/>
              </w:rPr>
              <w:t>（1）分析新能源电池厂不同区域（如涂布区、化成区、储能区）的风险特点与监测需求，明确机器人应承担的任务；</w:t>
            </w:r>
            <w:r>
              <w:rPr>
                <w:rFonts w:ascii="宋体" w:hAnsi="宋体"/>
                <w:sz w:val="24"/>
              </w:rPr>
              <w:br w:type="textWrapping"/>
            </w:r>
            <w:r>
              <w:rPr>
                <w:rFonts w:ascii="宋体" w:hAnsi="宋体"/>
                <w:sz w:val="24"/>
              </w:rPr>
              <w:t>（2）制定多源传感系统方案，设计数据采集、融合与异常识别算法，并结合新能源电池热失控模型调优预警阈值；</w:t>
            </w:r>
            <w:r>
              <w:rPr>
                <w:rFonts w:ascii="宋体" w:hAnsi="宋体"/>
                <w:sz w:val="24"/>
              </w:rPr>
              <w:br w:type="textWrapping"/>
            </w:r>
            <w:r>
              <w:rPr>
                <w:rFonts w:ascii="宋体" w:hAnsi="宋体"/>
                <w:sz w:val="24"/>
              </w:rPr>
              <w:t>（3）利用 Unity/UE 建立数字孪生 VR 场景，将传感网络、巡检路径、事故模拟等内容集成，实现虚拟现实可视化监控；</w:t>
            </w:r>
            <w:r>
              <w:rPr>
                <w:rFonts w:ascii="宋体" w:hAnsi="宋体"/>
                <w:sz w:val="24"/>
              </w:rPr>
              <w:br w:type="textWrapping"/>
            </w:r>
            <w:r>
              <w:rPr>
                <w:rFonts w:ascii="宋体" w:hAnsi="宋体"/>
                <w:sz w:val="24"/>
              </w:rPr>
              <w:t>（</w:t>
            </w:r>
            <w:r>
              <w:rPr>
                <w:rFonts w:hint="eastAsia" w:ascii="宋体" w:hAnsi="宋体"/>
                <w:sz w:val="24"/>
              </w:rPr>
              <w:t>4</w:t>
            </w:r>
            <w:r>
              <w:rPr>
                <w:rFonts w:ascii="宋体" w:hAnsi="宋体"/>
                <w:sz w:val="24"/>
              </w:rPr>
              <w:t>）通过实验室搭建的测试环境及 3D 打印原型件，对巡检、预警和应急处置流程进行验证，不断迭代优化设计，最终实现系统稳定运行。</w:t>
            </w:r>
          </w:p>
          <w:p w14:paraId="089DEA96">
            <w:pPr>
              <w:spacing w:line="300" w:lineRule="auto"/>
              <w:ind w:firstLine="480" w:firstLineChars="200"/>
              <w:rPr>
                <w:rFonts w:hint="eastAsia" w:ascii="宋体" w:hAnsi="宋体"/>
                <w:sz w:val="24"/>
              </w:rPr>
            </w:pPr>
            <w:r>
              <w:rPr>
                <w:rFonts w:ascii="宋体" w:hAnsi="宋体"/>
                <w:sz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2D3D3BCF">
            <w:pPr>
              <w:spacing w:line="300" w:lineRule="auto"/>
              <w:ind w:firstLine="482" w:firstLineChars="200"/>
              <w:rPr>
                <w:rFonts w:hint="eastAsia" w:ascii="宋体" w:hAnsi="宋体"/>
                <w:b/>
                <w:bCs/>
                <w:sz w:val="24"/>
              </w:rPr>
            </w:pPr>
            <w:r>
              <w:rPr>
                <w:rFonts w:ascii="宋体" w:hAnsi="宋体"/>
                <w:b/>
                <w:bCs/>
                <w:sz w:val="24"/>
              </w:rPr>
              <w:t>研究方法包括：</w:t>
            </w:r>
          </w:p>
          <w:p w14:paraId="212C3A56">
            <w:pPr>
              <w:spacing w:line="300" w:lineRule="auto"/>
              <w:ind w:firstLine="480" w:firstLineChars="200"/>
              <w:rPr>
                <w:rFonts w:hint="eastAsia" w:ascii="宋体" w:hAnsi="宋体"/>
                <w:sz w:val="24"/>
              </w:rPr>
            </w:pPr>
            <w:r>
              <w:rPr>
                <w:rFonts w:ascii="宋体" w:hAnsi="宋体"/>
                <w:sz w:val="24"/>
              </w:rPr>
              <w:t>（1）</w:t>
            </w:r>
            <w:r>
              <w:rPr>
                <w:rFonts w:ascii="宋体" w:hAnsi="宋体"/>
                <w:b/>
                <w:bCs/>
                <w:sz w:val="24"/>
              </w:rPr>
              <w:t>文献研究法</w:t>
            </w:r>
            <w:r>
              <w:rPr>
                <w:rFonts w:ascii="宋体" w:hAnsi="宋体"/>
                <w:sz w:val="24"/>
              </w:rPr>
              <w:br w:type="textWrapping"/>
            </w:r>
            <w:r>
              <w:rPr>
                <w:rFonts w:ascii="宋体" w:hAnsi="宋体"/>
                <w:sz w:val="24"/>
              </w:rPr>
              <w:t>对智能巡检机器人、多传感器融合、虚拟现实安全监控、新能源电池热失控机理等方向的国内外文献进行深入调研，包括 IEEE、Elsevier、ICRA/IROS 等顶会论文及行业白皮书。通过对前沿技术和典型案例的分析，掌握行业发展趋势及研究空白，为系统架构设计提供理论支撑。</w:t>
            </w:r>
          </w:p>
          <w:p w14:paraId="38C6A951">
            <w:pPr>
              <w:spacing w:line="300" w:lineRule="auto"/>
              <w:ind w:firstLine="480" w:firstLineChars="200"/>
              <w:rPr>
                <w:rFonts w:hint="eastAsia" w:ascii="宋体" w:hAnsi="宋体"/>
                <w:sz w:val="24"/>
              </w:rPr>
            </w:pPr>
            <w:r>
              <w:rPr>
                <w:rFonts w:ascii="宋体" w:hAnsi="宋体"/>
                <w:sz w:val="24"/>
              </w:rPr>
              <w:t>（2）</w:t>
            </w:r>
            <w:r>
              <w:rPr>
                <w:rFonts w:ascii="宋体" w:hAnsi="宋体"/>
                <w:b/>
                <w:bCs/>
                <w:sz w:val="24"/>
              </w:rPr>
              <w:t>系统设计与仿生分析方法</w:t>
            </w:r>
            <w:r>
              <w:rPr>
                <w:rFonts w:ascii="宋体" w:hAnsi="宋体"/>
                <w:sz w:val="24"/>
              </w:rPr>
              <w:br w:type="textWrapping"/>
            </w:r>
            <w:r>
              <w:rPr>
                <w:rFonts w:ascii="宋体" w:hAnsi="宋体"/>
                <w:sz w:val="24"/>
              </w:rPr>
              <w:t>借鉴自然界的感知行为规律，将仿生理念应用于机器人巡检策略与感知模型中。例如参考人类巡视行为中的“目标区域优先关注”机制优化巡检路径，参考生物感知模式构建多模态感知体系，提高机器人在噪声环境中的特征提取能力。</w:t>
            </w:r>
          </w:p>
          <w:p w14:paraId="385A6B7B">
            <w:pPr>
              <w:spacing w:line="300" w:lineRule="auto"/>
              <w:ind w:firstLine="480" w:firstLineChars="200"/>
              <w:rPr>
                <w:rFonts w:hint="eastAsia" w:ascii="宋体" w:hAnsi="宋体"/>
                <w:sz w:val="24"/>
              </w:rPr>
            </w:pPr>
            <w:r>
              <w:rPr>
                <w:rFonts w:ascii="宋体" w:hAnsi="宋体"/>
                <w:sz w:val="24"/>
              </w:rPr>
              <w:t>（3）</w:t>
            </w:r>
            <w:r>
              <w:rPr>
                <w:rFonts w:ascii="宋体" w:hAnsi="宋体"/>
                <w:b/>
                <w:bCs/>
                <w:sz w:val="24"/>
              </w:rPr>
              <w:t>计算机辅助设计与数字孪生仿真</w:t>
            </w:r>
            <w:r>
              <w:rPr>
                <w:rFonts w:ascii="宋体" w:hAnsi="宋体"/>
                <w:sz w:val="24"/>
              </w:rPr>
              <w:br w:type="textWrapping"/>
            </w:r>
            <w:r>
              <w:rPr>
                <w:rFonts w:ascii="宋体" w:hAnsi="宋体"/>
                <w:sz w:val="24"/>
              </w:rPr>
              <w:t>利用 SolidWorks、Rhino 等软件完成机器人本体、执行结构及传感器安装组件的三维设计，并通过 Unity/UE 建立虚拟现实数字孪生场景，实现对监测数据、机器人运动状态及事故扩散情况的实时可视化展示。通过模拟测试验证设计合理性，从而指导结构优化与系统调试。</w:t>
            </w:r>
          </w:p>
          <w:p w14:paraId="7E3EB96B">
            <w:pPr>
              <w:spacing w:line="300" w:lineRule="auto"/>
              <w:ind w:firstLine="480" w:firstLineChars="200"/>
              <w:rPr>
                <w:rFonts w:hint="eastAsia" w:ascii="宋体" w:hAnsi="宋体"/>
                <w:sz w:val="24"/>
              </w:rPr>
            </w:pPr>
          </w:p>
        </w:tc>
      </w:tr>
      <w:tr w14:paraId="1EE9D21D">
        <w:trPr>
          <w:trHeight w:val="3675" w:hRule="atLeast"/>
          <w:jc w:val="center"/>
        </w:trPr>
        <w:tc>
          <w:tcPr>
            <w:tcW w:w="481" w:type="dxa"/>
            <w:vAlign w:val="center"/>
          </w:tcPr>
          <w:p w14:paraId="36258EEA">
            <w:pPr>
              <w:rPr>
                <w:b/>
                <w:sz w:val="24"/>
                <w:szCs w:val="22"/>
              </w:rPr>
            </w:pPr>
            <w:r>
              <w:rPr>
                <w:rFonts w:hint="eastAsia"/>
                <w:b/>
                <w:sz w:val="24"/>
                <w:szCs w:val="22"/>
              </w:rPr>
              <w:t>项目创新点</w:t>
            </w:r>
          </w:p>
        </w:tc>
        <w:tc>
          <w:tcPr>
            <w:tcW w:w="9458" w:type="dxa"/>
          </w:tcPr>
          <w:p w14:paraId="69F23399">
            <w:pPr>
              <w:spacing w:line="300" w:lineRule="auto"/>
              <w:rPr>
                <w:rFonts w:hint="eastAsia" w:ascii="宋体" w:hAnsi="宋体"/>
                <w:b/>
                <w:bCs/>
                <w:sz w:val="24"/>
              </w:rPr>
            </w:pPr>
            <w:r>
              <w:rPr>
                <w:rFonts w:ascii="宋体" w:hAnsi="宋体"/>
                <w:b/>
                <w:bCs/>
                <w:sz w:val="24"/>
              </w:rPr>
              <w:t>（1）多源传感融合与热失控早期识别算法创新</w:t>
            </w:r>
          </w:p>
          <w:p w14:paraId="0BB26B92">
            <w:pPr>
              <w:spacing w:line="300" w:lineRule="auto"/>
              <w:rPr>
                <w:rFonts w:hint="eastAsia" w:ascii="宋体" w:hAnsi="宋体"/>
                <w:sz w:val="24"/>
              </w:rPr>
            </w:pPr>
            <w:r>
              <w:rPr>
                <w:rFonts w:ascii="宋体" w:hAnsi="宋体"/>
                <w:sz w:val="24"/>
              </w:rPr>
              <w:t>突破工业巡检中“单传感器检测不可靠”的局限，构建“热像–气体–视觉–声学–粉尘”多模态感知体系，通过深度融合算法实现对热失控前兆、微量泄漏及初期烟雾的提前识别。</w:t>
            </w:r>
            <w:r>
              <w:rPr>
                <w:rFonts w:ascii="宋体" w:hAnsi="宋体"/>
                <w:sz w:val="24"/>
              </w:rPr>
              <w:br w:type="textWrapping"/>
            </w:r>
            <w:r>
              <w:rPr>
                <w:rFonts w:ascii="宋体" w:hAnsi="宋体"/>
                <w:sz w:val="24"/>
              </w:rPr>
              <w:t>创新点包括：</w:t>
            </w:r>
          </w:p>
          <w:p w14:paraId="56D58499">
            <w:pPr>
              <w:numPr>
                <w:ilvl w:val="0"/>
                <w:numId w:val="1"/>
              </w:numPr>
              <w:spacing w:line="300" w:lineRule="auto"/>
              <w:rPr>
                <w:rFonts w:hint="eastAsia" w:ascii="宋体" w:hAnsi="宋体"/>
                <w:sz w:val="24"/>
              </w:rPr>
            </w:pPr>
            <w:r>
              <w:rPr>
                <w:rFonts w:ascii="宋体" w:hAnsi="宋体"/>
                <w:sz w:val="24"/>
              </w:rPr>
              <w:t>引入热成像的区域温升梯度分析方法，实现比传统温度阈值更敏感的早期异常识别；</w:t>
            </w:r>
          </w:p>
          <w:p w14:paraId="584CC323">
            <w:pPr>
              <w:numPr>
                <w:ilvl w:val="0"/>
                <w:numId w:val="1"/>
              </w:numPr>
              <w:spacing w:line="300" w:lineRule="auto"/>
              <w:rPr>
                <w:rFonts w:hint="eastAsia" w:ascii="宋体" w:hAnsi="宋体"/>
                <w:sz w:val="24"/>
              </w:rPr>
            </w:pPr>
            <w:r>
              <w:rPr>
                <w:rFonts w:ascii="宋体" w:hAnsi="宋体"/>
                <w:sz w:val="24"/>
              </w:rPr>
              <w:t>将 VOC 气体浓度变化率与粉尘粒径动态分布纳入特征向量，实现对电解液泄漏、极片粉尘异常的精准预判；</w:t>
            </w:r>
          </w:p>
          <w:p w14:paraId="13E70297">
            <w:pPr>
              <w:numPr>
                <w:ilvl w:val="0"/>
                <w:numId w:val="1"/>
              </w:numPr>
              <w:spacing w:line="300" w:lineRule="auto"/>
              <w:rPr>
                <w:rFonts w:hint="eastAsia" w:ascii="宋体" w:hAnsi="宋体"/>
                <w:sz w:val="24"/>
              </w:rPr>
            </w:pPr>
            <w:r>
              <w:rPr>
                <w:rFonts w:ascii="宋体" w:hAnsi="宋体"/>
                <w:sz w:val="24"/>
              </w:rPr>
              <w:t>构建跨传感器的特征融合模型，使环境噪声、振动与光照变化下的识别更稳健。</w:t>
            </w:r>
          </w:p>
          <w:p w14:paraId="205B0B69">
            <w:pPr>
              <w:spacing w:line="300" w:lineRule="auto"/>
              <w:rPr>
                <w:rFonts w:hint="eastAsia" w:ascii="宋体" w:hAnsi="宋体"/>
                <w:sz w:val="24"/>
              </w:rPr>
            </w:pPr>
            <w:r>
              <w:rPr>
                <w:rFonts w:ascii="宋体" w:hAnsi="宋体"/>
                <w:sz w:val="24"/>
              </w:rPr>
              <w:t>本方法在复杂工业场景中显著提升预警准确度，为新能源电池厂提供更高等级的本质安全保障。</w:t>
            </w:r>
          </w:p>
          <w:p w14:paraId="5FD18998">
            <w:pPr>
              <w:spacing w:line="300" w:lineRule="auto"/>
              <w:rPr>
                <w:rFonts w:hint="eastAsia" w:ascii="宋体" w:hAnsi="宋体"/>
                <w:sz w:val="24"/>
              </w:rPr>
            </w:pPr>
            <w:r>
              <w:rPr>
                <w:rFonts w:ascii="宋体" w:hAnsi="宋体"/>
                <w:sz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04986CE1">
            <w:pPr>
              <w:spacing w:line="300" w:lineRule="auto"/>
              <w:rPr>
                <w:rFonts w:hint="eastAsia" w:ascii="宋体" w:hAnsi="宋体"/>
                <w:b/>
                <w:bCs/>
                <w:sz w:val="24"/>
              </w:rPr>
            </w:pPr>
            <w:r>
              <w:rPr>
                <w:rFonts w:ascii="宋体" w:hAnsi="宋体"/>
                <w:b/>
                <w:bCs/>
                <w:sz w:val="24"/>
              </w:rPr>
              <w:t>（2）虚拟现实感知系统与智能机器人协同联动创新</w:t>
            </w:r>
          </w:p>
          <w:p w14:paraId="6695B35A">
            <w:pPr>
              <w:spacing w:line="300" w:lineRule="auto"/>
              <w:rPr>
                <w:rFonts w:hint="eastAsia" w:ascii="宋体" w:hAnsi="宋体"/>
                <w:sz w:val="24"/>
              </w:rPr>
            </w:pPr>
            <w:r>
              <w:rPr>
                <w:rFonts w:ascii="宋体" w:hAnsi="宋体"/>
                <w:sz w:val="24"/>
              </w:rPr>
              <w:t>突破传统巡检机器人“数据静态呈现”的方式，创新性实现 VR 数字孪生平台与真实机器人系统的双向实时联动。</w:t>
            </w:r>
            <w:r>
              <w:rPr>
                <w:rFonts w:ascii="宋体" w:hAnsi="宋体"/>
                <w:sz w:val="24"/>
              </w:rPr>
              <w:br w:type="textWrapping"/>
            </w:r>
            <w:r>
              <w:rPr>
                <w:rFonts w:ascii="宋体" w:hAnsi="宋体"/>
                <w:sz w:val="24"/>
              </w:rPr>
              <w:t>主要创新点包括：</w:t>
            </w:r>
          </w:p>
          <w:p w14:paraId="180E65B4">
            <w:pPr>
              <w:numPr>
                <w:ilvl w:val="0"/>
                <w:numId w:val="2"/>
              </w:numPr>
              <w:spacing w:line="300" w:lineRule="auto"/>
              <w:rPr>
                <w:rFonts w:hint="eastAsia" w:ascii="宋体" w:hAnsi="宋体"/>
                <w:sz w:val="24"/>
              </w:rPr>
            </w:pPr>
            <w:r>
              <w:rPr>
                <w:rFonts w:ascii="宋体" w:hAnsi="宋体"/>
                <w:sz w:val="24"/>
              </w:rPr>
              <w:t>VR 场景实时同步机器人位置、巡检路线、温度场与气体扩散模型，形成动态数字孪生；</w:t>
            </w:r>
          </w:p>
          <w:p w14:paraId="7B607457">
            <w:pPr>
              <w:numPr>
                <w:ilvl w:val="0"/>
                <w:numId w:val="2"/>
              </w:numPr>
              <w:spacing w:line="300" w:lineRule="auto"/>
              <w:rPr>
                <w:rFonts w:hint="eastAsia" w:ascii="宋体" w:hAnsi="宋体"/>
                <w:sz w:val="24"/>
              </w:rPr>
            </w:pPr>
            <w:r>
              <w:rPr>
                <w:rFonts w:ascii="宋体" w:hAnsi="宋体"/>
                <w:sz w:val="24"/>
              </w:rPr>
              <w:t>支持用户在 VR 中对机器人下达远程动作指令，如前往异常点位、执行近距检查或启动应急模块；</w:t>
            </w:r>
          </w:p>
          <w:p w14:paraId="3E5C3886">
            <w:pPr>
              <w:numPr>
                <w:ilvl w:val="0"/>
                <w:numId w:val="2"/>
              </w:numPr>
              <w:spacing w:line="300" w:lineRule="auto"/>
              <w:rPr>
                <w:rFonts w:hint="eastAsia" w:ascii="宋体" w:hAnsi="宋体"/>
                <w:sz w:val="24"/>
              </w:rPr>
            </w:pPr>
            <w:r>
              <w:rPr>
                <w:rFonts w:ascii="宋体" w:hAnsi="宋体"/>
                <w:sz w:val="24"/>
              </w:rPr>
              <w:t>将事故态势（如热失控扩散、烟雾扩散、环境温升变化）以三维方式实时可视化，提高监控直观度与决策效率；</w:t>
            </w:r>
          </w:p>
          <w:p w14:paraId="72F13D86">
            <w:pPr>
              <w:numPr>
                <w:ilvl w:val="0"/>
                <w:numId w:val="2"/>
              </w:numPr>
              <w:spacing w:line="300" w:lineRule="auto"/>
              <w:rPr>
                <w:rFonts w:hint="eastAsia" w:ascii="宋体" w:hAnsi="宋体"/>
                <w:sz w:val="24"/>
              </w:rPr>
            </w:pPr>
            <w:r>
              <w:rPr>
                <w:rFonts w:ascii="宋体" w:hAnsi="宋体"/>
                <w:sz w:val="24"/>
              </w:rPr>
              <w:t>建立虚实协同控制系统，使“虚拟监控—风险识别—机器人行动”形成闭环。</w:t>
            </w:r>
          </w:p>
          <w:p w14:paraId="2BD23D82">
            <w:pPr>
              <w:spacing w:line="300" w:lineRule="auto"/>
              <w:rPr>
                <w:rFonts w:hint="eastAsia" w:ascii="宋体" w:hAnsi="宋体"/>
                <w:sz w:val="24"/>
              </w:rPr>
            </w:pPr>
            <w:r>
              <w:rPr>
                <w:rFonts w:ascii="宋体" w:hAnsi="宋体"/>
                <w:sz w:val="24"/>
              </w:rPr>
              <w:t>该创新极大提升了新能源电池厂安全管理的信息化与可视化水平。</w:t>
            </w:r>
          </w:p>
          <w:p w14:paraId="3B8E7992">
            <w:pPr>
              <w:spacing w:line="300" w:lineRule="auto"/>
              <w:rPr>
                <w:rFonts w:hint="eastAsia" w:ascii="宋体" w:hAnsi="宋体"/>
                <w:sz w:val="24"/>
              </w:rPr>
            </w:pPr>
            <w:r>
              <w:rPr>
                <w:rFonts w:ascii="宋体" w:hAnsi="宋体"/>
                <w:sz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63DAAB9B">
            <w:pPr>
              <w:spacing w:line="300" w:lineRule="auto"/>
              <w:rPr>
                <w:rFonts w:hint="eastAsia" w:ascii="宋体" w:hAnsi="宋体"/>
                <w:b/>
                <w:bCs/>
                <w:sz w:val="24"/>
              </w:rPr>
            </w:pPr>
            <w:r>
              <w:rPr>
                <w:rFonts w:ascii="宋体" w:hAnsi="宋体"/>
                <w:b/>
                <w:bCs/>
                <w:sz w:val="24"/>
              </w:rPr>
              <w:t>（3）狭窄工业环境下的应急处置模块轻量化与模块化创新</w:t>
            </w:r>
          </w:p>
          <w:p w14:paraId="56F643C8">
            <w:pPr>
              <w:spacing w:line="300" w:lineRule="auto"/>
              <w:rPr>
                <w:rFonts w:hint="eastAsia" w:ascii="宋体" w:hAnsi="宋体"/>
                <w:sz w:val="24"/>
              </w:rPr>
            </w:pPr>
            <w:r>
              <w:rPr>
                <w:rFonts w:ascii="宋体" w:hAnsi="宋体"/>
                <w:sz w:val="24"/>
              </w:rPr>
              <w:t>针对新能源电池厂空间狭窄、作业环境复杂的特点，提出轻量化、多功能、可扩展的应急处置结构设计方案。</w:t>
            </w:r>
            <w:r>
              <w:rPr>
                <w:rFonts w:ascii="宋体" w:hAnsi="宋体"/>
                <w:sz w:val="24"/>
              </w:rPr>
              <w:br w:type="textWrapping"/>
            </w:r>
            <w:r>
              <w:rPr>
                <w:rFonts w:ascii="宋体" w:hAnsi="宋体"/>
                <w:sz w:val="24"/>
              </w:rPr>
              <w:t>创新包括：</w:t>
            </w:r>
          </w:p>
          <w:p w14:paraId="40932DC4">
            <w:pPr>
              <w:numPr>
                <w:ilvl w:val="0"/>
                <w:numId w:val="3"/>
              </w:numPr>
              <w:spacing w:line="300" w:lineRule="auto"/>
              <w:rPr>
                <w:rFonts w:hint="eastAsia" w:ascii="宋体" w:hAnsi="宋体"/>
                <w:sz w:val="24"/>
              </w:rPr>
            </w:pPr>
            <w:r>
              <w:rPr>
                <w:rFonts w:ascii="宋体" w:hAnsi="宋体"/>
                <w:sz w:val="24"/>
              </w:rPr>
              <w:t>模块化应急执行组件，可根据场景更换为气雾灭火模块、局部喷淋降温模块、机械臂转移模块或断电模块；</w:t>
            </w:r>
          </w:p>
          <w:p w14:paraId="694F976F">
            <w:pPr>
              <w:numPr>
                <w:ilvl w:val="0"/>
                <w:numId w:val="3"/>
              </w:numPr>
              <w:spacing w:line="300" w:lineRule="auto"/>
              <w:rPr>
                <w:rFonts w:hint="eastAsia" w:ascii="宋体" w:hAnsi="宋体"/>
                <w:sz w:val="24"/>
              </w:rPr>
            </w:pPr>
            <w:r>
              <w:rPr>
                <w:rFonts w:ascii="宋体" w:hAnsi="宋体"/>
                <w:sz w:val="24"/>
              </w:rPr>
              <w:t>采用轻量化结构与耐高温、防腐蚀材料，使机器人能在高温、含粉尘、含化学气体环境中可靠运行；</w:t>
            </w:r>
          </w:p>
          <w:p w14:paraId="2D71785C">
            <w:pPr>
              <w:numPr>
                <w:ilvl w:val="0"/>
                <w:numId w:val="3"/>
              </w:numPr>
              <w:spacing w:line="300" w:lineRule="auto"/>
              <w:rPr>
                <w:rFonts w:hint="eastAsia" w:ascii="宋体" w:hAnsi="宋体"/>
                <w:sz w:val="24"/>
              </w:rPr>
            </w:pPr>
            <w:r>
              <w:rPr>
                <w:rFonts w:ascii="宋体" w:hAnsi="宋体"/>
                <w:sz w:val="24"/>
              </w:rPr>
              <w:t>创新设计小型喷雾/灭火机构，可在狭窄区域执行局部快速处置，实现比人工更精确的点对点控制。</w:t>
            </w:r>
          </w:p>
          <w:p w14:paraId="75231EA3">
            <w:pPr>
              <w:spacing w:line="300" w:lineRule="auto"/>
              <w:rPr>
                <w:rFonts w:hint="eastAsia" w:ascii="宋体" w:hAnsi="宋体"/>
                <w:sz w:val="24"/>
              </w:rPr>
            </w:pPr>
            <w:r>
              <w:rPr>
                <w:rFonts w:ascii="宋体" w:hAnsi="宋体"/>
                <w:sz w:val="24"/>
              </w:rPr>
              <w:t>该创新解决了传统大型消防机器人无法进入新能源电池厂狭小作业面的难题。</w:t>
            </w:r>
          </w:p>
          <w:p w14:paraId="5F5B3C6A">
            <w:pPr>
              <w:spacing w:line="300" w:lineRule="auto"/>
              <w:rPr>
                <w:rFonts w:hint="eastAsia" w:ascii="宋体" w:hAnsi="宋体"/>
                <w:sz w:val="24"/>
              </w:rPr>
            </w:pPr>
            <w:r>
              <w:rPr>
                <w:rFonts w:ascii="宋体" w:hAnsi="宋体"/>
                <w:sz w:val="24"/>
              </w:rPr>
              <w:pict>
                <v:rect id="_x0000_i1030" o:spt="1" style="height:1.5pt;width:0pt;" fillcolor="#A0A0A0" filled="t" stroked="f" coordsize="21600,21600" o:hr="t" o:hrstd="t" o:hralign="center">
                  <v:path/>
                  <v:fill on="t" focussize="0,0"/>
                  <v:stroke on="f"/>
                  <v:imagedata o:title=""/>
                  <o:lock v:ext="edit"/>
                  <w10:wrap type="none"/>
                  <w10:anchorlock/>
                </v:rect>
              </w:pict>
            </w:r>
          </w:p>
          <w:p w14:paraId="4A29893F">
            <w:pPr>
              <w:spacing w:line="300" w:lineRule="auto"/>
              <w:rPr>
                <w:rFonts w:hint="eastAsia" w:ascii="宋体" w:hAnsi="宋体"/>
                <w:b/>
                <w:bCs/>
                <w:sz w:val="24"/>
              </w:rPr>
            </w:pPr>
            <w:r>
              <w:rPr>
                <w:rFonts w:ascii="宋体" w:hAnsi="宋体"/>
                <w:b/>
                <w:bCs/>
                <w:sz w:val="24"/>
              </w:rPr>
              <w:t>（4）基于工厂运行特点的智能巡检路径规划优化</w:t>
            </w:r>
          </w:p>
          <w:p w14:paraId="36830E74">
            <w:pPr>
              <w:spacing w:line="300" w:lineRule="auto"/>
              <w:rPr>
                <w:rFonts w:hint="eastAsia" w:ascii="宋体" w:hAnsi="宋体"/>
                <w:sz w:val="24"/>
              </w:rPr>
            </w:pPr>
            <w:r>
              <w:rPr>
                <w:rFonts w:ascii="宋体" w:hAnsi="宋体"/>
                <w:sz w:val="24"/>
              </w:rPr>
              <w:t>结合新能源电池厂工序布局和危险区域分布特征，创新提出场景自适应的巡检路径规划方法。</w:t>
            </w:r>
            <w:r>
              <w:rPr>
                <w:rFonts w:ascii="宋体" w:hAnsi="宋体"/>
                <w:sz w:val="24"/>
              </w:rPr>
              <w:br w:type="textWrapping"/>
            </w:r>
            <w:r>
              <w:rPr>
                <w:rFonts w:ascii="宋体" w:hAnsi="宋体"/>
                <w:sz w:val="24"/>
              </w:rPr>
              <w:t>其创新体现在：</w:t>
            </w:r>
          </w:p>
          <w:p w14:paraId="5CCE4670">
            <w:pPr>
              <w:numPr>
                <w:ilvl w:val="0"/>
                <w:numId w:val="4"/>
              </w:numPr>
              <w:spacing w:line="300" w:lineRule="auto"/>
              <w:rPr>
                <w:rFonts w:hint="eastAsia" w:ascii="宋体" w:hAnsi="宋体"/>
                <w:sz w:val="24"/>
              </w:rPr>
            </w:pPr>
            <w:r>
              <w:rPr>
                <w:rFonts w:ascii="宋体" w:hAnsi="宋体"/>
                <w:sz w:val="24"/>
              </w:rPr>
              <w:t>根据高风险设备（化成柜、注液区、电气柜）分布自动生成优先巡检路线；</w:t>
            </w:r>
          </w:p>
          <w:p w14:paraId="70712FC5">
            <w:pPr>
              <w:numPr>
                <w:ilvl w:val="0"/>
                <w:numId w:val="4"/>
              </w:numPr>
              <w:spacing w:line="300" w:lineRule="auto"/>
              <w:rPr>
                <w:rFonts w:hint="eastAsia" w:ascii="宋体" w:hAnsi="宋体"/>
                <w:sz w:val="24"/>
              </w:rPr>
            </w:pPr>
            <w:r>
              <w:rPr>
                <w:rFonts w:ascii="宋体" w:hAnsi="宋体"/>
                <w:sz w:val="24"/>
              </w:rPr>
              <w:t>引入人类巡视行为的仿生策略（如目标区域优先、局部重点监控）；</w:t>
            </w:r>
          </w:p>
          <w:p w14:paraId="414286C9">
            <w:pPr>
              <w:numPr>
                <w:ilvl w:val="0"/>
                <w:numId w:val="4"/>
              </w:numPr>
              <w:spacing w:line="300" w:lineRule="auto"/>
              <w:rPr>
                <w:rFonts w:hint="eastAsia" w:ascii="宋体" w:hAnsi="宋体"/>
                <w:sz w:val="24"/>
              </w:rPr>
            </w:pPr>
            <w:r>
              <w:rPr>
                <w:rFonts w:ascii="宋体" w:hAnsi="宋体"/>
                <w:sz w:val="24"/>
              </w:rPr>
              <w:t>结合实时环境数据动态调整巡检策略，提高巡检效率与覆盖率；</w:t>
            </w:r>
          </w:p>
          <w:p w14:paraId="3039AE5A">
            <w:pPr>
              <w:numPr>
                <w:ilvl w:val="0"/>
                <w:numId w:val="4"/>
              </w:numPr>
              <w:spacing w:line="300" w:lineRule="auto"/>
              <w:rPr>
                <w:rFonts w:hint="eastAsia" w:ascii="宋体" w:hAnsi="宋体"/>
                <w:sz w:val="24"/>
              </w:rPr>
            </w:pPr>
            <w:r>
              <w:rPr>
                <w:rFonts w:ascii="宋体" w:hAnsi="宋体"/>
                <w:sz w:val="24"/>
              </w:rPr>
              <w:t>实现“异常点二次检查”机制，使机器人自动返回并进行细致确认。</w:t>
            </w:r>
          </w:p>
          <w:p w14:paraId="2FE28AAA">
            <w:pPr>
              <w:spacing w:line="300" w:lineRule="auto"/>
              <w:rPr>
                <w:rFonts w:hint="eastAsia" w:ascii="宋体" w:hAnsi="宋体"/>
                <w:sz w:val="24"/>
              </w:rPr>
            </w:pPr>
            <w:r>
              <w:rPr>
                <w:rFonts w:ascii="宋体" w:hAnsi="宋体"/>
                <w:sz w:val="24"/>
              </w:rPr>
              <w:t>相比传统固定路线巡检，显著提升了机器人在真实生产环境中的实用性与智能化程度。</w:t>
            </w:r>
          </w:p>
          <w:p w14:paraId="419226DD">
            <w:pPr>
              <w:spacing w:line="300" w:lineRule="auto"/>
              <w:rPr>
                <w:rFonts w:hint="eastAsia" w:ascii="宋体" w:hAnsi="宋体"/>
                <w:sz w:val="24"/>
              </w:rPr>
            </w:pPr>
          </w:p>
        </w:tc>
      </w:tr>
    </w:tbl>
    <w:p w14:paraId="0B2E769C">
      <w:pPr>
        <w:spacing w:before="312" w:beforeLines="100" w:after="156" w:afterLines="50"/>
        <w:ind w:right="-512" w:rightChars="-244"/>
        <w:rPr>
          <w:b/>
          <w:sz w:val="32"/>
          <w:szCs w:val="32"/>
        </w:rPr>
      </w:pPr>
      <w:r>
        <w:rPr>
          <w:rFonts w:hint="eastAsia"/>
          <w:b/>
          <w:sz w:val="32"/>
          <w:szCs w:val="32"/>
        </w:rPr>
        <w:t>四、项目进度安排</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646C89DC">
        <w:trPr>
          <w:trHeight w:val="881" w:hRule="atLeast"/>
          <w:jc w:val="center"/>
        </w:trPr>
        <w:tc>
          <w:tcPr>
            <w:tcW w:w="481" w:type="dxa"/>
            <w:vMerge w:val="restart"/>
            <w:vAlign w:val="center"/>
          </w:tcPr>
          <w:p w14:paraId="1088EA82">
            <w:pPr>
              <w:rPr>
                <w:b/>
                <w:sz w:val="24"/>
              </w:rPr>
            </w:pPr>
            <w:r>
              <w:rPr>
                <w:rFonts w:hint="eastAsia"/>
                <w:b/>
                <w:sz w:val="24"/>
                <w:szCs w:val="22"/>
              </w:rPr>
              <w:t>项目进度安排</w:t>
            </w:r>
          </w:p>
        </w:tc>
        <w:tc>
          <w:tcPr>
            <w:tcW w:w="9458" w:type="dxa"/>
            <w:tcBorders>
              <w:bottom w:val="nil"/>
            </w:tcBorders>
          </w:tcPr>
          <w:p w14:paraId="6F993AAA">
            <w:pPr>
              <w:spacing w:line="300" w:lineRule="auto"/>
              <w:rPr>
                <w:rFonts w:hint="eastAsia" w:ascii="仿宋_GB2312" w:hAnsi="宋体" w:eastAsia="仿宋_GB2312"/>
                <w:sz w:val="24"/>
              </w:rPr>
            </w:pPr>
            <w:r>
              <w:rPr>
                <w:rFonts w:hint="eastAsia" w:ascii="仿宋_GB2312" w:hAnsi="宋体" w:eastAsia="仿宋_GB2312"/>
                <w:sz w:val="24"/>
              </w:rPr>
              <w:t>（查阅资料、自主设计项目研究方案、实验研究、数据统计、处理与分析、研制开发、中期检查、填写结题表、撰写研究论文和总结报告、参加结题答辩和成果推广等）</w:t>
            </w:r>
          </w:p>
        </w:tc>
      </w:tr>
      <w:tr w14:paraId="42C33F88">
        <w:trPr>
          <w:trHeight w:val="2112" w:hRule="atLeast"/>
          <w:jc w:val="center"/>
        </w:trPr>
        <w:tc>
          <w:tcPr>
            <w:tcW w:w="481" w:type="dxa"/>
            <w:vMerge w:val="continue"/>
            <w:vAlign w:val="center"/>
          </w:tcPr>
          <w:p w14:paraId="32F1B1BC">
            <w:pPr>
              <w:rPr>
                <w:b/>
                <w:sz w:val="24"/>
                <w:szCs w:val="22"/>
              </w:rPr>
            </w:pPr>
          </w:p>
        </w:tc>
        <w:tc>
          <w:tcPr>
            <w:tcW w:w="9458" w:type="dxa"/>
            <w:tcBorders>
              <w:top w:val="nil"/>
            </w:tcBorders>
          </w:tcPr>
          <w:p w14:paraId="65FB1E6C">
            <w:pPr>
              <w:spacing w:line="300" w:lineRule="auto"/>
              <w:rPr>
                <w:rFonts w:hint="eastAsia" w:ascii="宋体" w:hAnsi="宋体"/>
                <w:b/>
                <w:bCs/>
                <w:sz w:val="24"/>
              </w:rPr>
            </w:pPr>
            <w:r>
              <w:rPr>
                <w:rFonts w:ascii="宋体" w:hAnsi="宋体"/>
                <w:b/>
                <w:bCs/>
                <w:sz w:val="24"/>
              </w:rPr>
              <w:t>第一阶段：文献调研与总体方案设计（第1-2个月）</w:t>
            </w:r>
          </w:p>
          <w:p w14:paraId="6DCAFB49">
            <w:pPr>
              <w:spacing w:line="300" w:lineRule="auto"/>
              <w:rPr>
                <w:rFonts w:hint="eastAsia" w:ascii="宋体" w:hAnsi="宋体"/>
                <w:sz w:val="24"/>
              </w:rPr>
            </w:pPr>
            <w:r>
              <w:rPr>
                <w:rFonts w:ascii="宋体" w:hAnsi="宋体"/>
                <w:sz w:val="24"/>
              </w:rPr>
              <w:t>本阶段重点完成新能源电池厂事故机理、智能巡检机器人、多源传感融合技术和虚拟现实数字孪生系统等相关领域的资料查阅，系统梳理国内外在火灾预警、气体泄漏检测、热失控监测以及 VR–机器人联动方面的研究现状，形成调研报告。</w:t>
            </w:r>
            <w:r>
              <w:rPr>
                <w:rFonts w:ascii="宋体" w:hAnsi="宋体"/>
                <w:sz w:val="24"/>
              </w:rPr>
              <w:br w:type="textWrapping"/>
            </w:r>
            <w:r>
              <w:rPr>
                <w:rFonts w:ascii="宋体" w:hAnsi="宋体"/>
                <w:sz w:val="24"/>
              </w:rPr>
              <w:t>在此基础上，明确项目研究目标、技术路线、系统架构、硬件选型及实验验证方案，输出《项目研究总体方案》，为后续研发工作奠定理论基础和整体规划。</w:t>
            </w:r>
          </w:p>
          <w:p w14:paraId="1F17087F">
            <w:pPr>
              <w:spacing w:line="300" w:lineRule="auto"/>
              <w:rPr>
                <w:rFonts w:hint="eastAsia" w:ascii="宋体" w:hAnsi="宋体"/>
                <w:sz w:val="24"/>
              </w:rPr>
            </w:pPr>
            <w:r>
              <w:rPr>
                <w:rFonts w:ascii="宋体" w:hAnsi="宋体"/>
                <w:sz w:val="24"/>
              </w:rPr>
              <w:pict>
                <v:rect id="_x0000_i1031" o:spt="1" style="height:1.5pt;width:0pt;" fillcolor="#A0A0A0" filled="t" stroked="f" coordsize="21600,21600" o:hr="t" o:hrstd="t" o:hralign="center">
                  <v:path/>
                  <v:fill on="t" focussize="0,0"/>
                  <v:stroke on="f"/>
                  <v:imagedata o:title=""/>
                  <o:lock v:ext="edit"/>
                  <w10:wrap type="none"/>
                  <w10:anchorlock/>
                </v:rect>
              </w:pict>
            </w:r>
          </w:p>
          <w:p w14:paraId="51ADB60B">
            <w:pPr>
              <w:spacing w:line="300" w:lineRule="auto"/>
              <w:rPr>
                <w:rFonts w:hint="eastAsia" w:ascii="宋体" w:hAnsi="宋体"/>
                <w:b/>
                <w:bCs/>
                <w:sz w:val="24"/>
              </w:rPr>
            </w:pPr>
            <w:r>
              <w:rPr>
                <w:rFonts w:ascii="宋体" w:hAnsi="宋体"/>
                <w:b/>
                <w:bCs/>
                <w:sz w:val="24"/>
              </w:rPr>
              <w:t>第二阶段：核心模块设计与系统开发（第3-5个月）</w:t>
            </w:r>
          </w:p>
          <w:p w14:paraId="102DAFE5">
            <w:pPr>
              <w:spacing w:line="300" w:lineRule="auto"/>
              <w:rPr>
                <w:rFonts w:hint="eastAsia" w:ascii="宋体" w:hAnsi="宋体"/>
                <w:sz w:val="24"/>
              </w:rPr>
            </w:pPr>
            <w:r>
              <w:rPr>
                <w:rFonts w:ascii="宋体" w:hAnsi="宋体"/>
                <w:sz w:val="24"/>
              </w:rPr>
              <w:t>本阶段围绕项目核心技术开展集中研发，包括：</w:t>
            </w:r>
          </w:p>
          <w:p w14:paraId="43C1AD3F">
            <w:pPr>
              <w:numPr>
                <w:ilvl w:val="0"/>
                <w:numId w:val="5"/>
              </w:numPr>
              <w:spacing w:line="300" w:lineRule="auto"/>
              <w:rPr>
                <w:rFonts w:hint="eastAsia" w:ascii="宋体" w:hAnsi="宋体"/>
                <w:sz w:val="24"/>
              </w:rPr>
            </w:pPr>
            <w:r>
              <w:rPr>
                <w:rFonts w:ascii="宋体" w:hAnsi="宋体"/>
                <w:sz w:val="24"/>
              </w:rPr>
              <w:t>构建多源传感器数据采集模块（热像、气体、粉尘、视觉、声学等）；</w:t>
            </w:r>
          </w:p>
          <w:p w14:paraId="049A01A7">
            <w:pPr>
              <w:tabs>
                <w:tab w:val="left" w:pos="720"/>
              </w:tabs>
              <w:spacing w:line="300" w:lineRule="auto"/>
              <w:ind w:left="720"/>
              <w:rPr>
                <w:rFonts w:hint="eastAsia" w:ascii="宋体" w:hAnsi="宋体"/>
                <w:sz w:val="24"/>
              </w:rPr>
            </w:pPr>
            <w:r>
              <w:rPr>
                <w:rFonts w:ascii="宋体" w:hAnsi="宋体"/>
                <w:sz w:val="24"/>
              </w:rPr>
              <w:t>在 Unity/UE 中搭建新能源电池厂初版数字孪生 VR 场景，并实现机器人位姿、传感器数据的实时可视化同步；</w:t>
            </w:r>
          </w:p>
          <w:p w14:paraId="233E046A">
            <w:pPr>
              <w:numPr>
                <w:ilvl w:val="0"/>
                <w:numId w:val="5"/>
              </w:numPr>
              <w:spacing w:line="300" w:lineRule="auto"/>
              <w:rPr>
                <w:rFonts w:hint="eastAsia" w:ascii="宋体" w:hAnsi="宋体"/>
                <w:sz w:val="24"/>
              </w:rPr>
            </w:pPr>
            <w:r>
              <w:rPr>
                <w:rFonts w:ascii="宋体" w:hAnsi="宋体"/>
                <w:sz w:val="24"/>
              </w:rPr>
              <w:t>设计应急处置执行机构（如喷雾模块、断电模块等）的结构模型，完成关键零部件的3D建模。</w:t>
            </w:r>
          </w:p>
          <w:p w14:paraId="1D3C1872">
            <w:pPr>
              <w:spacing w:line="300" w:lineRule="auto"/>
              <w:rPr>
                <w:rFonts w:hint="eastAsia" w:ascii="宋体" w:hAnsi="宋体"/>
                <w:sz w:val="24"/>
              </w:rPr>
            </w:pPr>
            <w:r>
              <w:rPr>
                <w:rFonts w:ascii="宋体" w:hAnsi="宋体"/>
                <w:sz w:val="24"/>
              </w:rPr>
              <w:t>本阶段目标为完成各功能模块的基本原型开发，实现系统从无到有的初步搭建。</w:t>
            </w:r>
          </w:p>
          <w:p w14:paraId="2582A143">
            <w:pPr>
              <w:spacing w:line="300" w:lineRule="auto"/>
              <w:rPr>
                <w:rFonts w:hint="eastAsia" w:ascii="宋体" w:hAnsi="宋体"/>
                <w:sz w:val="24"/>
              </w:rPr>
            </w:pPr>
            <w:r>
              <w:rPr>
                <w:rFonts w:ascii="宋体" w:hAnsi="宋体"/>
                <w:sz w:val="24"/>
              </w:rPr>
              <w:pict>
                <v:rect id="_x0000_i1032" o:spt="1" style="height:1.5pt;width:0pt;" fillcolor="#A0A0A0" filled="t" stroked="f" coordsize="21600,21600" o:hr="t" o:hrstd="t" o:hralign="center">
                  <v:path/>
                  <v:fill on="t" focussize="0,0"/>
                  <v:stroke on="f"/>
                  <v:imagedata o:title=""/>
                  <o:lock v:ext="edit"/>
                  <w10:wrap type="none"/>
                  <w10:anchorlock/>
                </v:rect>
              </w:pict>
            </w:r>
          </w:p>
          <w:p w14:paraId="1F7144A2">
            <w:pPr>
              <w:spacing w:line="300" w:lineRule="auto"/>
              <w:rPr>
                <w:rFonts w:hint="eastAsia" w:ascii="宋体" w:hAnsi="宋体"/>
                <w:b/>
                <w:bCs/>
                <w:sz w:val="24"/>
              </w:rPr>
            </w:pPr>
            <w:r>
              <w:rPr>
                <w:rFonts w:ascii="宋体" w:hAnsi="宋体"/>
                <w:b/>
                <w:bCs/>
                <w:sz w:val="24"/>
              </w:rPr>
              <w:t>第三阶段：系统集成实验与中期检查（第6-7个月）</w:t>
            </w:r>
          </w:p>
          <w:p w14:paraId="5762C4A8">
            <w:pPr>
              <w:spacing w:line="300" w:lineRule="auto"/>
              <w:rPr>
                <w:rFonts w:hint="eastAsia" w:ascii="宋体" w:hAnsi="宋体"/>
                <w:sz w:val="24"/>
              </w:rPr>
            </w:pPr>
            <w:r>
              <w:rPr>
                <w:rFonts w:ascii="宋体" w:hAnsi="宋体"/>
                <w:sz w:val="24"/>
              </w:rPr>
              <w:t>在机器人平台上完成传感器模块</w:t>
            </w:r>
            <w:r>
              <w:rPr>
                <w:rFonts w:hint="eastAsia" w:ascii="宋体" w:hAnsi="宋体"/>
                <w:sz w:val="24"/>
              </w:rPr>
              <w:t>、</w:t>
            </w:r>
            <w:r>
              <w:rPr>
                <w:rFonts w:ascii="宋体" w:hAnsi="宋体"/>
                <w:sz w:val="24"/>
              </w:rPr>
              <w:t>VR 数字孪生平台与初版应急处理装置的整合，实现“巡检—监测—可视化”的端到端功能链路。</w:t>
            </w:r>
            <w:r>
              <w:rPr>
                <w:rFonts w:ascii="宋体" w:hAnsi="宋体"/>
                <w:sz w:val="24"/>
              </w:rPr>
              <w:br w:type="textWrapping"/>
            </w:r>
            <w:r>
              <w:rPr>
                <w:rFonts w:ascii="宋体" w:hAnsi="宋体"/>
                <w:sz w:val="24"/>
              </w:rPr>
              <w:t>通过小规模实验验证机器人导航稳定性、数据同步延迟、多源融合效果及预警准确度，记录实验数据，分析存在的问题并完成初步优化。</w:t>
            </w:r>
            <w:r>
              <w:rPr>
                <w:rFonts w:ascii="宋体" w:hAnsi="宋体"/>
                <w:sz w:val="24"/>
              </w:rPr>
              <w:br w:type="textWrapping"/>
            </w:r>
            <w:r>
              <w:rPr>
                <w:rFonts w:ascii="宋体" w:hAnsi="宋体"/>
                <w:sz w:val="24"/>
              </w:rPr>
              <w:t>同步撰写《中期报告》，接受项目中期检查，根据专家反馈对系统架构与后续研究计划进行调整。</w:t>
            </w:r>
          </w:p>
          <w:p w14:paraId="031F37A7">
            <w:pPr>
              <w:spacing w:line="300" w:lineRule="auto"/>
              <w:rPr>
                <w:rFonts w:hint="eastAsia" w:ascii="宋体" w:hAnsi="宋体"/>
                <w:sz w:val="24"/>
              </w:rPr>
            </w:pPr>
            <w:r>
              <w:rPr>
                <w:rFonts w:ascii="宋体" w:hAnsi="宋体"/>
                <w:sz w:val="24"/>
              </w:rPr>
              <w:pict>
                <v:rect id="_x0000_i1033" o:spt="1" style="height:1.5pt;width:0pt;" fillcolor="#A0A0A0" filled="t" stroked="f" coordsize="21600,21600" o:hr="t" o:hrstd="t" o:hralign="center">
                  <v:path/>
                  <v:fill on="t" focussize="0,0"/>
                  <v:stroke on="f"/>
                  <v:imagedata o:title=""/>
                  <o:lock v:ext="edit"/>
                  <w10:wrap type="none"/>
                  <w10:anchorlock/>
                </v:rect>
              </w:pict>
            </w:r>
          </w:p>
          <w:p w14:paraId="5FA6B43E">
            <w:pPr>
              <w:spacing w:line="300" w:lineRule="auto"/>
              <w:rPr>
                <w:rFonts w:hint="eastAsia" w:ascii="宋体" w:hAnsi="宋体"/>
                <w:b/>
                <w:bCs/>
                <w:sz w:val="24"/>
              </w:rPr>
            </w:pPr>
            <w:r>
              <w:rPr>
                <w:rFonts w:ascii="宋体" w:hAnsi="宋体"/>
                <w:b/>
                <w:bCs/>
                <w:sz w:val="24"/>
              </w:rPr>
              <w:t>第四阶段：系统优化与论文撰写（第8-10个月）</w:t>
            </w:r>
          </w:p>
          <w:p w14:paraId="37C3383E">
            <w:pPr>
              <w:spacing w:line="300" w:lineRule="auto"/>
              <w:rPr>
                <w:rFonts w:hint="eastAsia" w:ascii="宋体" w:hAnsi="宋体"/>
                <w:sz w:val="24"/>
              </w:rPr>
            </w:pPr>
            <w:r>
              <w:rPr>
                <w:rFonts w:ascii="宋体" w:hAnsi="宋体"/>
                <w:sz w:val="24"/>
              </w:rPr>
              <w:t>本阶段重点对机器人系统进行迭代完善，包括：</w:t>
            </w:r>
          </w:p>
          <w:p w14:paraId="5751632F">
            <w:pPr>
              <w:numPr>
                <w:ilvl w:val="0"/>
                <w:numId w:val="6"/>
              </w:numPr>
              <w:spacing w:line="300" w:lineRule="auto"/>
              <w:rPr>
                <w:rFonts w:hint="eastAsia" w:ascii="宋体" w:hAnsi="宋体"/>
                <w:sz w:val="24"/>
              </w:rPr>
            </w:pPr>
            <w:r>
              <w:rPr>
                <w:rFonts w:ascii="宋体" w:hAnsi="宋体"/>
                <w:sz w:val="24"/>
              </w:rPr>
              <w:t>优化 VR 场景渲染效率与交互机制，实现更加稳定、实时的虚实联动效果；</w:t>
            </w:r>
          </w:p>
          <w:p w14:paraId="6856F8E9">
            <w:pPr>
              <w:numPr>
                <w:ilvl w:val="0"/>
                <w:numId w:val="6"/>
              </w:numPr>
              <w:spacing w:line="300" w:lineRule="auto"/>
              <w:rPr>
                <w:rFonts w:hint="eastAsia" w:ascii="宋体" w:hAnsi="宋体"/>
                <w:sz w:val="24"/>
              </w:rPr>
            </w:pPr>
            <w:r>
              <w:rPr>
                <w:rFonts w:ascii="宋体" w:hAnsi="宋体"/>
                <w:sz w:val="24"/>
              </w:rPr>
              <w:t>对应急执行模块进行结构优化与材料改进，进一步提高轻量化与可靠性；</w:t>
            </w:r>
          </w:p>
          <w:p w14:paraId="6B97DFA1">
            <w:pPr>
              <w:numPr>
                <w:ilvl w:val="0"/>
                <w:numId w:val="6"/>
              </w:numPr>
              <w:spacing w:line="300" w:lineRule="auto"/>
              <w:rPr>
                <w:rFonts w:hint="eastAsia" w:ascii="宋体" w:hAnsi="宋体"/>
                <w:sz w:val="24"/>
              </w:rPr>
            </w:pPr>
            <w:r>
              <w:rPr>
                <w:rFonts w:ascii="宋体" w:hAnsi="宋体"/>
                <w:sz w:val="24"/>
              </w:rPr>
              <w:t>进行多批次实验验证系统的稳定性、响应速度与安全性。</w:t>
            </w:r>
          </w:p>
          <w:p w14:paraId="3C6B0D4A">
            <w:pPr>
              <w:spacing w:line="300" w:lineRule="auto"/>
              <w:rPr>
                <w:rFonts w:hint="eastAsia" w:ascii="宋体" w:hAnsi="宋体"/>
                <w:sz w:val="24"/>
              </w:rPr>
            </w:pPr>
            <w:r>
              <w:rPr>
                <w:rFonts w:ascii="宋体" w:hAnsi="宋体"/>
                <w:sz w:val="24"/>
              </w:rPr>
              <w:t>同时整理项目研究资料、实验记录、图纸与代码，撰写项目论文与技术总结，形成《项目总结报告》与论文初稿。</w:t>
            </w:r>
          </w:p>
          <w:p w14:paraId="71E995A3">
            <w:pPr>
              <w:spacing w:line="300" w:lineRule="auto"/>
              <w:rPr>
                <w:rFonts w:hint="eastAsia" w:ascii="宋体" w:hAnsi="宋体"/>
                <w:sz w:val="24"/>
              </w:rPr>
            </w:pPr>
            <w:r>
              <w:rPr>
                <w:rFonts w:ascii="宋体" w:hAnsi="宋体"/>
                <w:sz w:val="24"/>
              </w:rPr>
              <w:pict>
                <v:rect id="_x0000_i1034" o:spt="1" style="height:1.5pt;width:0pt;" fillcolor="#A0A0A0" filled="t" stroked="f" coordsize="21600,21600" o:hr="t" o:hrstd="t" o:hralign="center">
                  <v:path/>
                  <v:fill on="t" focussize="0,0"/>
                  <v:stroke on="f"/>
                  <v:imagedata o:title=""/>
                  <o:lock v:ext="edit"/>
                  <w10:wrap type="none"/>
                  <w10:anchorlock/>
                </v:rect>
              </w:pict>
            </w:r>
          </w:p>
          <w:p w14:paraId="291E928A">
            <w:pPr>
              <w:spacing w:line="300" w:lineRule="auto"/>
              <w:rPr>
                <w:rFonts w:hint="eastAsia" w:ascii="宋体" w:hAnsi="宋体"/>
                <w:b/>
                <w:bCs/>
                <w:sz w:val="24"/>
              </w:rPr>
            </w:pPr>
            <w:r>
              <w:rPr>
                <w:rFonts w:ascii="宋体" w:hAnsi="宋体"/>
                <w:b/>
                <w:bCs/>
                <w:sz w:val="24"/>
              </w:rPr>
              <w:t>第五阶段：结题答辩与成果展示推广（第11-12个月）</w:t>
            </w:r>
          </w:p>
          <w:p w14:paraId="14E88995">
            <w:pPr>
              <w:spacing w:line="300" w:lineRule="auto"/>
              <w:rPr>
                <w:rFonts w:hint="eastAsia" w:ascii="宋体" w:hAnsi="宋体"/>
                <w:sz w:val="24"/>
              </w:rPr>
            </w:pPr>
            <w:r>
              <w:rPr>
                <w:rFonts w:ascii="宋体" w:hAnsi="宋体"/>
                <w:sz w:val="24"/>
              </w:rPr>
              <w:t>本阶段重点完成项目最终验收及成果展示：</w:t>
            </w:r>
          </w:p>
          <w:p w14:paraId="37F2DD9D">
            <w:pPr>
              <w:numPr>
                <w:ilvl w:val="0"/>
                <w:numId w:val="7"/>
              </w:numPr>
              <w:spacing w:line="300" w:lineRule="auto"/>
              <w:rPr>
                <w:rFonts w:hint="eastAsia" w:ascii="宋体" w:hAnsi="宋体"/>
                <w:sz w:val="24"/>
              </w:rPr>
            </w:pPr>
            <w:r>
              <w:rPr>
                <w:rFonts w:ascii="宋体" w:hAnsi="宋体"/>
                <w:sz w:val="24"/>
              </w:rPr>
              <w:t>完善论文、结题表和总结报告，提交结题材料；</w:t>
            </w:r>
          </w:p>
          <w:p w14:paraId="7B2CAA9F">
            <w:pPr>
              <w:numPr>
                <w:ilvl w:val="0"/>
                <w:numId w:val="7"/>
              </w:numPr>
              <w:spacing w:line="300" w:lineRule="auto"/>
              <w:rPr>
                <w:rFonts w:hint="eastAsia" w:ascii="宋体" w:hAnsi="宋体"/>
                <w:sz w:val="24"/>
              </w:rPr>
            </w:pPr>
            <w:r>
              <w:rPr>
                <w:rFonts w:ascii="宋体" w:hAnsi="宋体"/>
                <w:sz w:val="24"/>
              </w:rPr>
              <w:t>制作项目演示与答辩PPT，准备演示视频，按计划参加结题答辩；</w:t>
            </w:r>
          </w:p>
          <w:p w14:paraId="7B9A86C0">
            <w:pPr>
              <w:numPr>
                <w:ilvl w:val="0"/>
                <w:numId w:val="7"/>
              </w:numPr>
              <w:spacing w:line="300" w:lineRule="auto"/>
              <w:rPr>
                <w:rFonts w:hint="eastAsia" w:ascii="宋体" w:hAnsi="宋体"/>
                <w:sz w:val="24"/>
              </w:rPr>
            </w:pPr>
            <w:r>
              <w:rPr>
                <w:rFonts w:ascii="宋体" w:hAnsi="宋体"/>
                <w:sz w:val="24"/>
              </w:rPr>
              <w:t>结合实验成果制作展示材料，通过学术会议、机器人创新论坛、新能源电池厂安全技术交流会等途径进行成果推广；</w:t>
            </w:r>
          </w:p>
          <w:p w14:paraId="723070A7">
            <w:pPr>
              <w:numPr>
                <w:ilvl w:val="0"/>
                <w:numId w:val="7"/>
              </w:numPr>
              <w:spacing w:line="300" w:lineRule="auto"/>
              <w:rPr>
                <w:rFonts w:hint="eastAsia" w:ascii="宋体" w:hAnsi="宋体"/>
                <w:sz w:val="24"/>
              </w:rPr>
            </w:pPr>
            <w:r>
              <w:rPr>
                <w:rFonts w:ascii="宋体" w:hAnsi="宋体"/>
                <w:sz w:val="24"/>
              </w:rPr>
              <w:t>将系统功能展示给合作企业、导师团队或学校实验中心，推动研究成果的应用探索与技术转化。</w:t>
            </w:r>
          </w:p>
          <w:p w14:paraId="3520B4C2">
            <w:pPr>
              <w:spacing w:line="300" w:lineRule="auto"/>
              <w:rPr>
                <w:rFonts w:hint="eastAsia" w:ascii="宋体" w:hAnsi="宋体"/>
                <w:sz w:val="24"/>
              </w:rPr>
            </w:pPr>
          </w:p>
        </w:tc>
      </w:tr>
    </w:tbl>
    <w:p w14:paraId="57692211">
      <w:pPr>
        <w:spacing w:before="312" w:beforeLines="100" w:after="156" w:afterLines="50"/>
        <w:ind w:right="-512" w:rightChars="-244"/>
        <w:rPr>
          <w:b/>
          <w:sz w:val="32"/>
          <w:szCs w:val="32"/>
        </w:rPr>
      </w:pPr>
      <w:r>
        <w:rPr>
          <w:rFonts w:hint="eastAsia"/>
          <w:b/>
          <w:sz w:val="32"/>
          <w:szCs w:val="32"/>
        </w:rPr>
        <w:t>五、项目实施条件</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69BC40F3">
        <w:trPr>
          <w:trHeight w:val="922" w:hRule="atLeast"/>
          <w:jc w:val="center"/>
        </w:trPr>
        <w:tc>
          <w:tcPr>
            <w:tcW w:w="481" w:type="dxa"/>
            <w:vMerge w:val="restart"/>
            <w:vAlign w:val="center"/>
          </w:tcPr>
          <w:p w14:paraId="774CC1F6">
            <w:pPr>
              <w:rPr>
                <w:b/>
                <w:sz w:val="24"/>
                <w:szCs w:val="22"/>
              </w:rPr>
            </w:pPr>
            <w:r>
              <w:rPr>
                <w:rFonts w:hint="eastAsia"/>
                <w:b/>
                <w:sz w:val="24"/>
                <w:szCs w:val="22"/>
              </w:rPr>
              <w:t>项目实施的条件</w:t>
            </w:r>
          </w:p>
          <w:p w14:paraId="56B9E7C3">
            <w:pPr>
              <w:rPr>
                <w:b/>
                <w:sz w:val="24"/>
              </w:rPr>
            </w:pPr>
            <w:r>
              <w:rPr>
                <w:rFonts w:hint="eastAsia"/>
                <w:b/>
                <w:sz w:val="24"/>
                <w:szCs w:val="22"/>
              </w:rPr>
              <w:t>和资源</w:t>
            </w:r>
          </w:p>
        </w:tc>
        <w:tc>
          <w:tcPr>
            <w:tcW w:w="9458" w:type="dxa"/>
            <w:tcBorders>
              <w:bottom w:val="nil"/>
            </w:tcBorders>
          </w:tcPr>
          <w:p w14:paraId="34FD052C">
            <w:pPr>
              <w:spacing w:line="300" w:lineRule="auto"/>
              <w:rPr>
                <w:rFonts w:hint="eastAsia" w:ascii="仿宋_GB2312" w:hAnsi="宋体" w:eastAsia="仿宋_GB2312"/>
                <w:b/>
                <w:sz w:val="24"/>
              </w:rPr>
            </w:pPr>
            <w:r>
              <w:rPr>
                <w:rFonts w:hint="eastAsia" w:ascii="仿宋_GB2312" w:hAnsi="宋体" w:eastAsia="仿宋_GB2312"/>
                <w:sz w:val="24"/>
              </w:rPr>
              <w:t>（依托的科研或教学实验基地，实验仪器设备的配置，图书资料，实验或实践场地等项目实施的条件）</w:t>
            </w:r>
          </w:p>
        </w:tc>
      </w:tr>
      <w:tr w14:paraId="6E263DAE">
        <w:trPr>
          <w:trHeight w:val="2805" w:hRule="atLeast"/>
          <w:jc w:val="center"/>
        </w:trPr>
        <w:tc>
          <w:tcPr>
            <w:tcW w:w="481" w:type="dxa"/>
            <w:vMerge w:val="continue"/>
            <w:vAlign w:val="center"/>
          </w:tcPr>
          <w:p w14:paraId="76148D8E">
            <w:pPr>
              <w:rPr>
                <w:b/>
                <w:sz w:val="24"/>
                <w:szCs w:val="22"/>
              </w:rPr>
            </w:pPr>
          </w:p>
        </w:tc>
        <w:tc>
          <w:tcPr>
            <w:tcW w:w="9458" w:type="dxa"/>
            <w:tcBorders>
              <w:top w:val="nil"/>
            </w:tcBorders>
          </w:tcPr>
          <w:p w14:paraId="0D877447">
            <w:pPr>
              <w:spacing w:line="300" w:lineRule="auto"/>
              <w:rPr>
                <w:rFonts w:hint="eastAsia" w:ascii="宋体" w:hAnsi="宋体"/>
                <w:sz w:val="24"/>
              </w:rPr>
            </w:pPr>
            <w:r>
              <w:rPr>
                <w:rFonts w:hint="eastAsia" w:ascii="宋体" w:hAnsi="宋体"/>
                <w:sz w:val="24"/>
              </w:rPr>
              <w:t>依托华东理工大学的图书馆和在线数据库资料进行前期资料收集工作；</w:t>
            </w:r>
          </w:p>
          <w:p w14:paraId="20848CA8">
            <w:pPr>
              <w:spacing w:line="300" w:lineRule="auto"/>
              <w:rPr>
                <w:rFonts w:hint="eastAsia" w:ascii="宋体" w:hAnsi="宋体"/>
                <w:sz w:val="24"/>
              </w:rPr>
            </w:pPr>
            <w:r>
              <w:rPr>
                <w:rFonts w:hint="eastAsia" w:ascii="宋体" w:hAnsi="宋体"/>
                <w:sz w:val="24"/>
              </w:rPr>
              <w:t>依托艺术设计与传媒学院的实验室进行后期的3D打印和模型装配测试等工作。</w:t>
            </w:r>
          </w:p>
          <w:p w14:paraId="4FE81087">
            <w:pPr>
              <w:spacing w:line="300" w:lineRule="auto"/>
              <w:rPr>
                <w:rFonts w:hint="eastAsia" w:ascii="宋体" w:hAnsi="宋体"/>
                <w:sz w:val="24"/>
              </w:rPr>
            </w:pPr>
            <w:r>
              <w:rPr>
                <w:rFonts w:hint="eastAsia" w:ascii="宋体" w:hAnsi="宋体"/>
                <w:sz w:val="24"/>
              </w:rPr>
              <w:t>依托公司的研发机构提供的机械结构设计资源进行外观与结构的结合研究工作。</w:t>
            </w:r>
          </w:p>
          <w:p w14:paraId="1814B9BD">
            <w:pPr>
              <w:spacing w:line="300" w:lineRule="auto"/>
              <w:rPr>
                <w:rFonts w:hint="eastAsia" w:ascii="宋体" w:hAnsi="宋体"/>
                <w:sz w:val="24"/>
              </w:rPr>
            </w:pPr>
          </w:p>
        </w:tc>
      </w:tr>
    </w:tbl>
    <w:p w14:paraId="4C193AFD">
      <w:pPr>
        <w:spacing w:before="312" w:beforeLines="100" w:after="156" w:afterLines="50"/>
        <w:rPr>
          <w:b/>
          <w:sz w:val="32"/>
          <w:szCs w:val="32"/>
        </w:rPr>
      </w:pPr>
      <w:r>
        <w:rPr>
          <w:rFonts w:hint="eastAsia"/>
          <w:b/>
          <w:sz w:val="32"/>
          <w:szCs w:val="32"/>
        </w:rPr>
        <w:t>六、项目预期效果及成果形式</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1C930AF8">
        <w:trPr>
          <w:trHeight w:val="585" w:hRule="atLeast"/>
          <w:jc w:val="center"/>
        </w:trPr>
        <w:tc>
          <w:tcPr>
            <w:tcW w:w="481" w:type="dxa"/>
            <w:vMerge w:val="restart"/>
            <w:vAlign w:val="center"/>
          </w:tcPr>
          <w:p w14:paraId="7EF8E2A2">
            <w:pPr>
              <w:rPr>
                <w:b/>
                <w:sz w:val="24"/>
                <w:szCs w:val="22"/>
              </w:rPr>
            </w:pPr>
            <w:r>
              <w:rPr>
                <w:rFonts w:hint="eastAsia"/>
                <w:b/>
                <w:sz w:val="24"/>
                <w:szCs w:val="22"/>
              </w:rPr>
              <w:t>项目</w:t>
            </w:r>
          </w:p>
          <w:p w14:paraId="2D1B622E">
            <w:pPr>
              <w:rPr>
                <w:b/>
                <w:sz w:val="24"/>
              </w:rPr>
            </w:pPr>
            <w:r>
              <w:rPr>
                <w:rFonts w:hint="eastAsia"/>
                <w:b/>
                <w:sz w:val="24"/>
                <w:szCs w:val="22"/>
              </w:rPr>
              <w:t>预期成果及其形式</w:t>
            </w:r>
          </w:p>
        </w:tc>
        <w:tc>
          <w:tcPr>
            <w:tcW w:w="9458" w:type="dxa"/>
            <w:tcBorders>
              <w:bottom w:val="nil"/>
            </w:tcBorders>
          </w:tcPr>
          <w:p w14:paraId="0E9245F9">
            <w:pPr>
              <w:spacing w:line="300" w:lineRule="auto"/>
              <w:rPr>
                <w:rFonts w:hint="eastAsia" w:ascii="仿宋_GB2312" w:hAnsi="宋体" w:eastAsia="仿宋_GB2312"/>
                <w:szCs w:val="21"/>
              </w:rPr>
            </w:pPr>
            <w:r>
              <w:rPr>
                <w:rFonts w:hint="eastAsia" w:eastAsia="仿宋_GB2312"/>
                <w:sz w:val="24"/>
              </w:rPr>
              <w:t>（学术论文、专利申请、竞赛获奖、开发软件、研制产品、项目鉴定，推广应用等，其中前三项至少任选其一）</w:t>
            </w:r>
          </w:p>
        </w:tc>
      </w:tr>
      <w:tr w14:paraId="2DA4AABE">
        <w:trPr>
          <w:trHeight w:val="3611" w:hRule="atLeast"/>
          <w:jc w:val="center"/>
        </w:trPr>
        <w:tc>
          <w:tcPr>
            <w:tcW w:w="481" w:type="dxa"/>
            <w:vMerge w:val="continue"/>
            <w:vAlign w:val="center"/>
          </w:tcPr>
          <w:p w14:paraId="501897B2">
            <w:pPr>
              <w:rPr>
                <w:b/>
                <w:sz w:val="24"/>
                <w:szCs w:val="22"/>
              </w:rPr>
            </w:pPr>
          </w:p>
        </w:tc>
        <w:tc>
          <w:tcPr>
            <w:tcW w:w="9458" w:type="dxa"/>
            <w:tcBorders>
              <w:top w:val="nil"/>
              <w:bottom w:val="single" w:color="auto" w:sz="4" w:space="0"/>
            </w:tcBorders>
          </w:tcPr>
          <w:p w14:paraId="5A806C11">
            <w:pPr>
              <w:spacing w:line="300" w:lineRule="auto"/>
              <w:rPr>
                <w:rFonts w:hint="eastAsia" w:ascii="宋体" w:hAnsi="宋体"/>
                <w:sz w:val="24"/>
              </w:rPr>
            </w:pPr>
          </w:p>
          <w:p w14:paraId="0BBEB14E">
            <w:pPr>
              <w:spacing w:line="300" w:lineRule="auto"/>
              <w:rPr>
                <w:rFonts w:hint="eastAsia" w:ascii="宋体" w:hAnsi="宋体"/>
                <w:sz w:val="24"/>
              </w:rPr>
            </w:pPr>
            <w:r>
              <w:rPr>
                <w:rFonts w:hint="eastAsia" w:ascii="宋体" w:hAnsi="宋体"/>
                <w:sz w:val="24"/>
              </w:rPr>
              <w:t>主要预期成果为发表一篇相关学术论文，以及相关主题的设计方案和demo模型。</w:t>
            </w:r>
          </w:p>
        </w:tc>
      </w:tr>
      <w:tr w14:paraId="54D1CF3D">
        <w:trPr>
          <w:trHeight w:val="936" w:hRule="atLeast"/>
          <w:jc w:val="center"/>
        </w:trPr>
        <w:tc>
          <w:tcPr>
            <w:tcW w:w="481" w:type="dxa"/>
            <w:vMerge w:val="restart"/>
            <w:vAlign w:val="center"/>
          </w:tcPr>
          <w:p w14:paraId="213717B6">
            <w:pPr>
              <w:rPr>
                <w:b/>
                <w:sz w:val="24"/>
                <w:szCs w:val="22"/>
                <w:highlight w:val="none"/>
              </w:rPr>
            </w:pPr>
            <w:r>
              <w:rPr>
                <w:rFonts w:hint="eastAsia"/>
                <w:b/>
                <w:sz w:val="24"/>
                <w:szCs w:val="22"/>
                <w:highlight w:val="none"/>
              </w:rPr>
              <w:t>结合专业学习的计划</w:t>
            </w:r>
          </w:p>
        </w:tc>
        <w:tc>
          <w:tcPr>
            <w:tcW w:w="9458" w:type="dxa"/>
            <w:tcBorders>
              <w:bottom w:val="nil"/>
            </w:tcBorders>
          </w:tcPr>
          <w:p w14:paraId="59956F0B">
            <w:pPr>
              <w:spacing w:line="300" w:lineRule="auto"/>
              <w:rPr>
                <w:rFonts w:eastAsia="仿宋_GB2312"/>
                <w:sz w:val="24"/>
                <w:highlight w:val="none"/>
              </w:rPr>
            </w:pPr>
            <w:r>
              <w:rPr>
                <w:rFonts w:hint="eastAsia" w:eastAsia="仿宋_GB2312"/>
                <w:sz w:val="24"/>
                <w:highlight w:val="none"/>
              </w:rPr>
              <w:t>（是否有进一步深造的想法？如何通过参与项目研究加强专业学习，培养自身的实践能力、科研能力。）</w:t>
            </w:r>
          </w:p>
        </w:tc>
      </w:tr>
      <w:tr w14:paraId="1B10800D">
        <w:trPr>
          <w:trHeight w:val="3152" w:hRule="atLeast"/>
          <w:jc w:val="center"/>
        </w:trPr>
        <w:tc>
          <w:tcPr>
            <w:tcW w:w="481" w:type="dxa"/>
            <w:vMerge w:val="continue"/>
            <w:vAlign w:val="center"/>
          </w:tcPr>
          <w:p w14:paraId="100833A0">
            <w:pPr>
              <w:rPr>
                <w:b/>
                <w:sz w:val="24"/>
                <w:szCs w:val="22"/>
              </w:rPr>
            </w:pPr>
          </w:p>
        </w:tc>
        <w:tc>
          <w:tcPr>
            <w:tcW w:w="9458" w:type="dxa"/>
            <w:tcBorders>
              <w:top w:val="nil"/>
            </w:tcBorders>
          </w:tcPr>
          <w:p w14:paraId="7A7D1B03">
            <w:pPr>
              <w:spacing w:line="300" w:lineRule="auto"/>
              <w:rPr>
                <w:rFonts w:eastAsia="仿宋_GB2312"/>
                <w:sz w:val="24"/>
              </w:rPr>
            </w:pPr>
            <w:r>
              <w:rPr>
                <w:rFonts w:eastAsia="仿宋_GB2312"/>
                <w:sz w:val="24"/>
              </w:rPr>
              <w:t>在本项目的研究过程中，我不仅希望完成既定的系统设计与验证任务，更希望借此机会进一步深入探索智能巡检机器人、虚拟现实数字孪生、安全预警算法等前沿技术的发展方向。随着研究推进，我计划在导师指导下，逐步拓展对多源传感器融合原理、热失控机理模型、VR 可视化交互等核心模块的理解，并尝试构建具备更高鲁棒性与实时性的预警模型，从理论层面提升事故识别能力。</w:t>
            </w:r>
          </w:p>
          <w:p w14:paraId="2C823AA7">
            <w:pPr>
              <w:spacing w:line="300" w:lineRule="auto"/>
              <w:rPr>
                <w:rFonts w:eastAsia="仿宋_GB2312"/>
                <w:sz w:val="24"/>
              </w:rPr>
            </w:pPr>
            <w:r>
              <w:rPr>
                <w:rFonts w:eastAsia="仿宋_GB2312"/>
                <w:sz w:val="24"/>
              </w:rPr>
              <w:t>通过参与该项目，我能够在多个方面强化自身的专业学习与科研素养：</w:t>
            </w:r>
            <w:r>
              <w:rPr>
                <w:rFonts w:eastAsia="仿宋_GB2312"/>
                <w:sz w:val="24"/>
              </w:rPr>
              <w:br w:type="textWrapping"/>
            </w:r>
            <w:r>
              <w:rPr>
                <w:rFonts w:eastAsia="仿宋_GB2312"/>
                <w:sz w:val="24"/>
              </w:rPr>
              <w:t>（1）</w:t>
            </w:r>
            <w:r>
              <w:rPr>
                <w:rFonts w:eastAsia="仿宋_GB2312"/>
                <w:b/>
                <w:bCs/>
                <w:sz w:val="24"/>
              </w:rPr>
              <w:t>实践能力提升方面</w:t>
            </w:r>
            <w:r>
              <w:rPr>
                <w:rFonts w:eastAsia="仿宋_GB2312"/>
                <w:sz w:val="24"/>
              </w:rPr>
              <w:br w:type="textWrapping"/>
            </w:r>
            <w:r>
              <w:rPr>
                <w:rFonts w:eastAsia="仿宋_GB2312"/>
                <w:sz w:val="24"/>
              </w:rPr>
              <w:t>在机器人搭建、传感器调试、场景构建及实验验证过程中，我将参与系统开发的每一个环节，从硬件集成到软件编程，从结构设计到现场测试，全面锻炼工程实践能力与动手能力。</w:t>
            </w:r>
          </w:p>
          <w:p w14:paraId="1B10D630">
            <w:pPr>
              <w:spacing w:line="300" w:lineRule="auto"/>
              <w:rPr>
                <w:rFonts w:eastAsia="仿宋_GB2312"/>
                <w:sz w:val="24"/>
              </w:rPr>
            </w:pPr>
            <w:r>
              <w:rPr>
                <w:rFonts w:eastAsia="仿宋_GB2312"/>
                <w:sz w:val="24"/>
              </w:rPr>
              <w:t>（2）</w:t>
            </w:r>
            <w:r>
              <w:rPr>
                <w:rFonts w:eastAsia="仿宋_GB2312"/>
                <w:b/>
                <w:bCs/>
                <w:sz w:val="24"/>
              </w:rPr>
              <w:t>专业能力深化方面</w:t>
            </w:r>
            <w:r>
              <w:rPr>
                <w:rFonts w:eastAsia="仿宋_GB2312"/>
                <w:sz w:val="24"/>
              </w:rPr>
              <w:br w:type="textWrapping"/>
            </w:r>
            <w:r>
              <w:rPr>
                <w:rFonts w:eastAsia="仿宋_GB2312"/>
                <w:sz w:val="24"/>
              </w:rPr>
              <w:t>项目涉及自动控制、虚拟现实、三维建模、导航算法、数据处理等多学科知识，我可以在解决实际问题的过程中巩固课堂所学，并将理论真正应用到工程系统中，从而实现专业知识的深化与拓展。</w:t>
            </w:r>
          </w:p>
          <w:p w14:paraId="6FF5A7C8">
            <w:pPr>
              <w:spacing w:line="300" w:lineRule="auto"/>
              <w:rPr>
                <w:rFonts w:eastAsia="仿宋_GB2312"/>
                <w:sz w:val="24"/>
              </w:rPr>
            </w:pPr>
            <w:r>
              <w:rPr>
                <w:rFonts w:eastAsia="仿宋_GB2312"/>
                <w:sz w:val="24"/>
              </w:rPr>
              <w:t>（3）</w:t>
            </w:r>
            <w:r>
              <w:rPr>
                <w:rFonts w:eastAsia="仿宋_GB2312"/>
                <w:b/>
                <w:bCs/>
                <w:sz w:val="24"/>
              </w:rPr>
              <w:t>科研能力培养方面</w:t>
            </w:r>
            <w:r>
              <w:rPr>
                <w:rFonts w:eastAsia="仿宋_GB2312"/>
                <w:sz w:val="24"/>
              </w:rPr>
              <w:br w:type="textWrapping"/>
            </w:r>
            <w:r>
              <w:rPr>
                <w:rFonts w:eastAsia="仿宋_GB2312"/>
                <w:sz w:val="24"/>
              </w:rPr>
              <w:t>在文献调研、实验数据分析、结果讨论、论文撰写等环节中，我将系统提升科研方法意识与学术表达能力，逐步掌握科研的完整流程，培养发现问题、提出问题并解决问题的能力，为后续继续开展相关领域研究奠定良好基础。</w:t>
            </w:r>
          </w:p>
          <w:p w14:paraId="3E329446">
            <w:pPr>
              <w:spacing w:line="300" w:lineRule="auto"/>
              <w:rPr>
                <w:rFonts w:eastAsia="仿宋_GB2312"/>
                <w:sz w:val="24"/>
              </w:rPr>
            </w:pPr>
            <w:r>
              <w:rPr>
                <w:rFonts w:eastAsia="仿宋_GB2312"/>
                <w:sz w:val="24"/>
              </w:rPr>
              <w:t>总体而言，通过参与本课题研究，我希望真正实现从“学习者”向“研究者”的转变，全面提升自身的实践能力、创新能力与科研素养，并为智能安全监测与机器人技术领域的深入学习打下坚实基础。</w:t>
            </w:r>
          </w:p>
          <w:p w14:paraId="25B13A26">
            <w:pPr>
              <w:spacing w:line="300" w:lineRule="auto"/>
              <w:rPr>
                <w:rFonts w:eastAsia="仿宋_GB2312"/>
                <w:sz w:val="24"/>
              </w:rPr>
            </w:pPr>
          </w:p>
        </w:tc>
      </w:tr>
    </w:tbl>
    <w:p w14:paraId="630D27B2">
      <w:pPr>
        <w:spacing w:before="312" w:beforeLines="100" w:after="156" w:afterLines="50"/>
        <w:ind w:right="-512" w:rightChars="-244"/>
        <w:rPr>
          <w:b/>
          <w:sz w:val="32"/>
          <w:szCs w:val="32"/>
        </w:rPr>
      </w:pPr>
      <w:r>
        <w:rPr>
          <w:rFonts w:hint="eastAsia"/>
          <w:b/>
          <w:sz w:val="32"/>
          <w:szCs w:val="32"/>
        </w:rPr>
        <w:t>七、项目经费预算</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74DFD6B6">
        <w:trPr>
          <w:trHeight w:val="624" w:hRule="atLeast"/>
          <w:jc w:val="center"/>
        </w:trPr>
        <w:tc>
          <w:tcPr>
            <w:tcW w:w="481" w:type="dxa"/>
            <w:vMerge w:val="restart"/>
            <w:vAlign w:val="center"/>
          </w:tcPr>
          <w:p w14:paraId="0AB8C19E">
            <w:pPr>
              <w:rPr>
                <w:b/>
                <w:sz w:val="24"/>
              </w:rPr>
            </w:pPr>
            <w:r>
              <w:rPr>
                <w:rFonts w:hint="eastAsia"/>
                <w:b/>
                <w:sz w:val="24"/>
                <w:szCs w:val="22"/>
              </w:rPr>
              <w:t>项目经费使用计划</w:t>
            </w:r>
          </w:p>
        </w:tc>
        <w:tc>
          <w:tcPr>
            <w:tcW w:w="9458" w:type="dxa"/>
          </w:tcPr>
          <w:p w14:paraId="6CE877BA">
            <w:pPr>
              <w:spacing w:line="300" w:lineRule="auto"/>
              <w:rPr>
                <w:rFonts w:hint="eastAsia" w:ascii="仿宋_GB2312" w:hAnsi="宋体" w:eastAsia="仿宋_GB2312"/>
                <w:sz w:val="24"/>
              </w:rPr>
            </w:pPr>
            <w:r>
              <w:rPr>
                <w:rFonts w:hint="eastAsia" w:ascii="仿宋_GB2312" w:hAnsi="宋体" w:eastAsia="仿宋_GB2312"/>
                <w:sz w:val="24"/>
              </w:rPr>
              <w:t>（包括大概支出科目（含配套经费）、金额、计算根据及理由，如果别的经费支持请说明）</w:t>
            </w:r>
          </w:p>
          <w:p w14:paraId="2D4616A7">
            <w:pPr>
              <w:spacing w:line="300" w:lineRule="auto"/>
              <w:rPr>
                <w:rFonts w:hint="eastAsia" w:ascii="仿宋_GB2312" w:hAnsi="宋体" w:eastAsia="仿宋_GB2312"/>
                <w:sz w:val="24"/>
              </w:rPr>
            </w:pPr>
          </w:p>
        </w:tc>
      </w:tr>
      <w:tr w14:paraId="034495DF">
        <w:trPr>
          <w:trHeight w:val="4201" w:hRule="atLeast"/>
          <w:jc w:val="center"/>
        </w:trPr>
        <w:tc>
          <w:tcPr>
            <w:tcW w:w="481" w:type="dxa"/>
            <w:vMerge w:val="continue"/>
            <w:vAlign w:val="center"/>
          </w:tcPr>
          <w:p w14:paraId="4A3D0059">
            <w:pPr>
              <w:rPr>
                <w:b/>
                <w:sz w:val="24"/>
                <w:szCs w:val="22"/>
              </w:rPr>
            </w:pPr>
          </w:p>
        </w:tc>
        <w:tc>
          <w:tcPr>
            <w:tcW w:w="9458" w:type="dxa"/>
          </w:tcPr>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070"/>
              <w:gridCol w:w="1589"/>
              <w:gridCol w:w="4648"/>
            </w:tblGrid>
            <w:tr w14:paraId="536DDD7E">
              <w:trPr>
                <w:trHeight w:val="454" w:hRule="atLeast"/>
                <w:jc w:val="center"/>
              </w:trPr>
              <w:tc>
                <w:tcPr>
                  <w:tcW w:w="2070" w:type="dxa"/>
                  <w:vAlign w:val="center"/>
                </w:tcPr>
                <w:p w14:paraId="21433678">
                  <w:pPr>
                    <w:jc w:val="center"/>
                    <w:rPr>
                      <w:rFonts w:hint="eastAsia" w:ascii="仿宋_GB2312" w:hAnsi="宋体" w:eastAsia="仿宋_GB2312"/>
                      <w:bCs/>
                      <w:sz w:val="24"/>
                    </w:rPr>
                  </w:pPr>
                  <w:r>
                    <w:rPr>
                      <w:rFonts w:hint="eastAsia" w:ascii="仿宋_GB2312" w:hAnsi="宋体" w:eastAsia="仿宋_GB2312"/>
                      <w:bCs/>
                      <w:sz w:val="24"/>
                    </w:rPr>
                    <w:t>支出科目</w:t>
                  </w:r>
                </w:p>
              </w:tc>
              <w:tc>
                <w:tcPr>
                  <w:tcW w:w="1589" w:type="dxa"/>
                  <w:vAlign w:val="center"/>
                </w:tcPr>
                <w:p w14:paraId="2A8D4ECB">
                  <w:pPr>
                    <w:jc w:val="center"/>
                    <w:rPr>
                      <w:rFonts w:hint="eastAsia" w:ascii="仿宋_GB2312" w:hAnsi="宋体" w:eastAsia="仿宋_GB2312"/>
                      <w:bCs/>
                      <w:sz w:val="24"/>
                    </w:rPr>
                  </w:pPr>
                  <w:r>
                    <w:rPr>
                      <w:rFonts w:hint="eastAsia" w:ascii="仿宋_GB2312" w:hAnsi="宋体" w:eastAsia="仿宋_GB2312"/>
                      <w:bCs/>
                      <w:sz w:val="24"/>
                    </w:rPr>
                    <w:t>金额（元）</w:t>
                  </w:r>
                </w:p>
              </w:tc>
              <w:tc>
                <w:tcPr>
                  <w:tcW w:w="4648" w:type="dxa"/>
                  <w:vAlign w:val="center"/>
                </w:tcPr>
                <w:p w14:paraId="0A149A3D">
                  <w:pPr>
                    <w:jc w:val="center"/>
                    <w:rPr>
                      <w:rFonts w:hint="eastAsia" w:ascii="仿宋_GB2312" w:hAnsi="宋体" w:eastAsia="仿宋_GB2312"/>
                      <w:bCs/>
                      <w:sz w:val="24"/>
                    </w:rPr>
                  </w:pPr>
                  <w:r>
                    <w:rPr>
                      <w:rFonts w:hint="eastAsia" w:ascii="仿宋_GB2312" w:hAnsi="宋体" w:eastAsia="仿宋_GB2312"/>
                      <w:bCs/>
                      <w:sz w:val="24"/>
                    </w:rPr>
                    <w:t>计算根据及理由</w:t>
                  </w:r>
                </w:p>
              </w:tc>
            </w:tr>
            <w:tr w14:paraId="1375728F">
              <w:trPr>
                <w:trHeight w:val="454" w:hRule="atLeast"/>
                <w:jc w:val="center"/>
              </w:trPr>
              <w:tc>
                <w:tcPr>
                  <w:tcW w:w="2070" w:type="dxa"/>
                  <w:vAlign w:val="center"/>
                </w:tcPr>
                <w:p w14:paraId="38D7019E">
                  <w:pPr>
                    <w:jc w:val="center"/>
                    <w:rPr>
                      <w:rFonts w:hint="eastAsia" w:ascii="宋体" w:hAnsi="宋体"/>
                      <w:sz w:val="24"/>
                    </w:rPr>
                  </w:pPr>
                  <w:r>
                    <w:rPr>
                      <w:rFonts w:hint="eastAsia" w:ascii="宋体" w:hAnsi="宋体"/>
                      <w:sz w:val="24"/>
                    </w:rPr>
                    <w:t>论文发表</w:t>
                  </w:r>
                </w:p>
              </w:tc>
              <w:tc>
                <w:tcPr>
                  <w:tcW w:w="1589" w:type="dxa"/>
                  <w:vAlign w:val="center"/>
                </w:tcPr>
                <w:p w14:paraId="2B65D1E2">
                  <w:pPr>
                    <w:jc w:val="center"/>
                    <w:rPr>
                      <w:rFonts w:hint="eastAsia" w:ascii="宋体" w:hAnsi="宋体"/>
                      <w:sz w:val="24"/>
                    </w:rPr>
                  </w:pPr>
                  <w:r>
                    <w:rPr>
                      <w:rFonts w:hint="eastAsia" w:ascii="宋体" w:hAnsi="宋体"/>
                      <w:sz w:val="24"/>
                    </w:rPr>
                    <w:t>5000</w:t>
                  </w:r>
                </w:p>
              </w:tc>
              <w:tc>
                <w:tcPr>
                  <w:tcW w:w="4648" w:type="dxa"/>
                  <w:vAlign w:val="center"/>
                </w:tcPr>
                <w:p w14:paraId="7C318983">
                  <w:pPr>
                    <w:jc w:val="center"/>
                    <w:rPr>
                      <w:rFonts w:hint="eastAsia" w:ascii="宋体" w:hAnsi="宋体"/>
                      <w:sz w:val="24"/>
                    </w:rPr>
                  </w:pPr>
                  <w:r>
                    <w:rPr>
                      <w:rFonts w:hint="eastAsia" w:ascii="宋体" w:hAnsi="宋体"/>
                      <w:sz w:val="24"/>
                    </w:rPr>
                    <w:t>参考历年征稿要求</w:t>
                  </w:r>
                </w:p>
              </w:tc>
            </w:tr>
            <w:tr w14:paraId="170CFC5D">
              <w:trPr>
                <w:trHeight w:val="454" w:hRule="atLeast"/>
                <w:jc w:val="center"/>
              </w:trPr>
              <w:tc>
                <w:tcPr>
                  <w:tcW w:w="2070" w:type="dxa"/>
                  <w:vAlign w:val="center"/>
                </w:tcPr>
                <w:p w14:paraId="1BB8971E">
                  <w:pPr>
                    <w:jc w:val="center"/>
                    <w:rPr>
                      <w:rFonts w:hint="eastAsia" w:ascii="宋体" w:hAnsi="宋体"/>
                      <w:sz w:val="24"/>
                    </w:rPr>
                  </w:pPr>
                  <w:r>
                    <w:rPr>
                      <w:rFonts w:hint="eastAsia" w:ascii="宋体" w:hAnsi="宋体"/>
                      <w:sz w:val="24"/>
                    </w:rPr>
                    <w:t>设计调研</w:t>
                  </w:r>
                </w:p>
              </w:tc>
              <w:tc>
                <w:tcPr>
                  <w:tcW w:w="1589" w:type="dxa"/>
                  <w:vAlign w:val="center"/>
                </w:tcPr>
                <w:p w14:paraId="138A1219">
                  <w:pPr>
                    <w:jc w:val="center"/>
                    <w:rPr>
                      <w:rFonts w:hint="eastAsia" w:ascii="宋体" w:hAnsi="宋体"/>
                      <w:sz w:val="24"/>
                    </w:rPr>
                  </w:pPr>
                  <w:r>
                    <w:rPr>
                      <w:rFonts w:hint="eastAsia" w:ascii="宋体" w:hAnsi="宋体"/>
                      <w:sz w:val="24"/>
                    </w:rPr>
                    <w:t>1000</w:t>
                  </w:r>
                </w:p>
              </w:tc>
              <w:tc>
                <w:tcPr>
                  <w:tcW w:w="4648" w:type="dxa"/>
                  <w:vAlign w:val="center"/>
                </w:tcPr>
                <w:p w14:paraId="32E50567">
                  <w:pPr>
                    <w:jc w:val="center"/>
                    <w:rPr>
                      <w:rFonts w:hint="eastAsia" w:ascii="宋体" w:hAnsi="宋体"/>
                      <w:sz w:val="24"/>
                    </w:rPr>
                  </w:pPr>
                  <w:r>
                    <w:rPr>
                      <w:rFonts w:hint="eastAsia" w:ascii="宋体" w:hAnsi="宋体"/>
                      <w:sz w:val="24"/>
                    </w:rPr>
                    <w:t>问卷调查（10元</w:t>
                  </w:r>
                  <w:r>
                    <w:rPr>
                      <w:rFonts w:ascii="宋体" w:hAnsi="宋体"/>
                      <w:b/>
                      <w:bCs/>
                      <w:sz w:val="24"/>
                    </w:rPr>
                    <w:t>×</w:t>
                  </w:r>
                  <w:r>
                    <w:rPr>
                      <w:rFonts w:hint="eastAsia" w:ascii="宋体" w:hAnsi="宋体"/>
                      <w:sz w:val="24"/>
                    </w:rPr>
                    <w:t>100份）</w:t>
                  </w:r>
                </w:p>
              </w:tc>
            </w:tr>
            <w:tr w14:paraId="7C27A059">
              <w:trPr>
                <w:trHeight w:val="454" w:hRule="atLeast"/>
                <w:jc w:val="center"/>
              </w:trPr>
              <w:tc>
                <w:tcPr>
                  <w:tcW w:w="2070" w:type="dxa"/>
                  <w:vAlign w:val="center"/>
                </w:tcPr>
                <w:p w14:paraId="683A3B3F">
                  <w:pPr>
                    <w:jc w:val="center"/>
                    <w:rPr>
                      <w:rFonts w:hint="eastAsia" w:ascii="宋体" w:hAnsi="宋体"/>
                      <w:sz w:val="24"/>
                    </w:rPr>
                  </w:pPr>
                  <w:r>
                    <w:rPr>
                      <w:rFonts w:hint="eastAsia" w:ascii="宋体" w:hAnsi="宋体"/>
                      <w:sz w:val="24"/>
                    </w:rPr>
                    <w:t>3D打印模型</w:t>
                  </w:r>
                </w:p>
              </w:tc>
              <w:tc>
                <w:tcPr>
                  <w:tcW w:w="1589" w:type="dxa"/>
                  <w:vAlign w:val="center"/>
                </w:tcPr>
                <w:p w14:paraId="1CFFDA52">
                  <w:pPr>
                    <w:jc w:val="center"/>
                    <w:rPr>
                      <w:rFonts w:hint="eastAsia" w:ascii="宋体" w:hAnsi="宋体"/>
                      <w:sz w:val="24"/>
                    </w:rPr>
                  </w:pPr>
                  <w:r>
                    <w:rPr>
                      <w:rFonts w:hint="eastAsia" w:ascii="宋体" w:hAnsi="宋体"/>
                      <w:sz w:val="24"/>
                    </w:rPr>
                    <w:t>1500</w:t>
                  </w:r>
                </w:p>
              </w:tc>
              <w:tc>
                <w:tcPr>
                  <w:tcW w:w="4648" w:type="dxa"/>
                  <w:vAlign w:val="center"/>
                </w:tcPr>
                <w:p w14:paraId="1E674DFD">
                  <w:pPr>
                    <w:jc w:val="center"/>
                    <w:rPr>
                      <w:rFonts w:hint="eastAsia" w:ascii="宋体" w:hAnsi="宋体"/>
                      <w:sz w:val="24"/>
                    </w:rPr>
                  </w:pPr>
                  <w:r>
                    <w:rPr>
                      <w:rFonts w:hint="eastAsia" w:ascii="宋体" w:hAnsi="宋体"/>
                      <w:sz w:val="24"/>
                    </w:rPr>
                    <w:t>500元</w:t>
                  </w:r>
                  <w:r>
                    <w:rPr>
                      <w:rFonts w:ascii="宋体" w:hAnsi="宋体"/>
                      <w:b/>
                      <w:bCs/>
                      <w:sz w:val="24"/>
                    </w:rPr>
                    <w:t>×</w:t>
                  </w:r>
                  <w:r>
                    <w:rPr>
                      <w:rFonts w:hint="eastAsia" w:ascii="宋体" w:hAnsi="宋体"/>
                      <w:sz w:val="24"/>
                    </w:rPr>
                    <w:t>3个</w:t>
                  </w:r>
                </w:p>
              </w:tc>
            </w:tr>
            <w:tr w14:paraId="0FDE38A4">
              <w:trPr>
                <w:trHeight w:val="454" w:hRule="atLeast"/>
                <w:jc w:val="center"/>
              </w:trPr>
              <w:tc>
                <w:tcPr>
                  <w:tcW w:w="2070" w:type="dxa"/>
                  <w:vAlign w:val="center"/>
                </w:tcPr>
                <w:p w14:paraId="173F7470">
                  <w:pPr>
                    <w:jc w:val="center"/>
                    <w:rPr>
                      <w:rFonts w:hint="eastAsia" w:ascii="宋体" w:hAnsi="宋体"/>
                      <w:sz w:val="24"/>
                    </w:rPr>
                  </w:pPr>
                  <w:r>
                    <w:rPr>
                      <w:rFonts w:hint="eastAsia" w:ascii="宋体" w:hAnsi="宋体"/>
                      <w:sz w:val="24"/>
                    </w:rPr>
                    <w:t>手板涂装与组装</w:t>
                  </w:r>
                </w:p>
              </w:tc>
              <w:tc>
                <w:tcPr>
                  <w:tcW w:w="1589" w:type="dxa"/>
                  <w:vAlign w:val="center"/>
                </w:tcPr>
                <w:p w14:paraId="7862BB22">
                  <w:pPr>
                    <w:jc w:val="center"/>
                    <w:rPr>
                      <w:rFonts w:hint="eastAsia" w:ascii="宋体" w:hAnsi="宋体"/>
                      <w:sz w:val="24"/>
                    </w:rPr>
                  </w:pPr>
                  <w:r>
                    <w:rPr>
                      <w:rFonts w:hint="eastAsia" w:ascii="宋体" w:hAnsi="宋体"/>
                      <w:sz w:val="24"/>
                    </w:rPr>
                    <w:t>2500</w:t>
                  </w:r>
                </w:p>
              </w:tc>
              <w:tc>
                <w:tcPr>
                  <w:tcW w:w="4648" w:type="dxa"/>
                  <w:vAlign w:val="center"/>
                </w:tcPr>
                <w:p w14:paraId="7EB20E5E">
                  <w:pPr>
                    <w:jc w:val="center"/>
                    <w:rPr>
                      <w:rFonts w:hint="eastAsia" w:ascii="宋体" w:hAnsi="宋体"/>
                      <w:sz w:val="24"/>
                    </w:rPr>
                  </w:pPr>
                  <w:r>
                    <w:rPr>
                      <w:rFonts w:hint="eastAsia" w:ascii="宋体" w:hAnsi="宋体"/>
                      <w:sz w:val="24"/>
                    </w:rPr>
                    <w:t>参考模型厂报价</w:t>
                  </w:r>
                </w:p>
              </w:tc>
            </w:tr>
            <w:tr w14:paraId="632502E4">
              <w:trPr>
                <w:trHeight w:val="454" w:hRule="atLeast"/>
                <w:jc w:val="center"/>
              </w:trPr>
              <w:tc>
                <w:tcPr>
                  <w:tcW w:w="2070" w:type="dxa"/>
                  <w:vAlign w:val="center"/>
                </w:tcPr>
                <w:p w14:paraId="5B2FB53B">
                  <w:pPr>
                    <w:jc w:val="center"/>
                    <w:rPr>
                      <w:rFonts w:hint="eastAsia" w:ascii="宋体" w:hAnsi="宋体"/>
                      <w:sz w:val="24"/>
                    </w:rPr>
                  </w:pPr>
                </w:p>
              </w:tc>
              <w:tc>
                <w:tcPr>
                  <w:tcW w:w="1589" w:type="dxa"/>
                  <w:vAlign w:val="center"/>
                </w:tcPr>
                <w:p w14:paraId="5048877A">
                  <w:pPr>
                    <w:jc w:val="center"/>
                    <w:rPr>
                      <w:rFonts w:hint="eastAsia" w:ascii="宋体" w:hAnsi="宋体"/>
                      <w:sz w:val="24"/>
                    </w:rPr>
                  </w:pPr>
                </w:p>
              </w:tc>
              <w:tc>
                <w:tcPr>
                  <w:tcW w:w="4648" w:type="dxa"/>
                  <w:vAlign w:val="center"/>
                </w:tcPr>
                <w:p w14:paraId="09823482">
                  <w:pPr>
                    <w:jc w:val="center"/>
                    <w:rPr>
                      <w:rFonts w:hint="eastAsia" w:ascii="宋体" w:hAnsi="宋体"/>
                      <w:sz w:val="24"/>
                    </w:rPr>
                  </w:pPr>
                </w:p>
              </w:tc>
            </w:tr>
            <w:tr w14:paraId="160D7CCC">
              <w:trPr>
                <w:trHeight w:val="454" w:hRule="atLeast"/>
                <w:jc w:val="center"/>
              </w:trPr>
              <w:tc>
                <w:tcPr>
                  <w:tcW w:w="2070" w:type="dxa"/>
                  <w:vAlign w:val="center"/>
                </w:tcPr>
                <w:p w14:paraId="1DECD05A">
                  <w:pPr>
                    <w:jc w:val="center"/>
                    <w:rPr>
                      <w:rFonts w:hint="eastAsia" w:ascii="宋体" w:hAnsi="宋体"/>
                      <w:sz w:val="24"/>
                    </w:rPr>
                  </w:pPr>
                </w:p>
              </w:tc>
              <w:tc>
                <w:tcPr>
                  <w:tcW w:w="1589" w:type="dxa"/>
                  <w:vAlign w:val="center"/>
                </w:tcPr>
                <w:p w14:paraId="2101D946">
                  <w:pPr>
                    <w:jc w:val="center"/>
                    <w:rPr>
                      <w:rFonts w:hint="eastAsia" w:ascii="宋体" w:hAnsi="宋体"/>
                      <w:sz w:val="24"/>
                    </w:rPr>
                  </w:pPr>
                </w:p>
              </w:tc>
              <w:tc>
                <w:tcPr>
                  <w:tcW w:w="4648" w:type="dxa"/>
                  <w:vAlign w:val="center"/>
                </w:tcPr>
                <w:p w14:paraId="5EF91E55">
                  <w:pPr>
                    <w:jc w:val="center"/>
                    <w:rPr>
                      <w:rFonts w:hint="eastAsia" w:ascii="宋体" w:hAnsi="宋体"/>
                      <w:sz w:val="24"/>
                    </w:rPr>
                  </w:pPr>
                </w:p>
              </w:tc>
            </w:tr>
            <w:tr w14:paraId="48260049">
              <w:trPr>
                <w:trHeight w:val="454" w:hRule="atLeast"/>
                <w:jc w:val="center"/>
              </w:trPr>
              <w:tc>
                <w:tcPr>
                  <w:tcW w:w="2070" w:type="dxa"/>
                  <w:vAlign w:val="center"/>
                </w:tcPr>
                <w:p w14:paraId="1E795063">
                  <w:pPr>
                    <w:jc w:val="center"/>
                    <w:rPr>
                      <w:rFonts w:hint="eastAsia" w:ascii="宋体" w:hAnsi="宋体"/>
                      <w:sz w:val="24"/>
                    </w:rPr>
                  </w:pPr>
                </w:p>
              </w:tc>
              <w:tc>
                <w:tcPr>
                  <w:tcW w:w="1589" w:type="dxa"/>
                  <w:vAlign w:val="center"/>
                </w:tcPr>
                <w:p w14:paraId="2F0DBB3C">
                  <w:pPr>
                    <w:jc w:val="center"/>
                    <w:rPr>
                      <w:rFonts w:hint="eastAsia" w:ascii="宋体" w:hAnsi="宋体"/>
                      <w:sz w:val="24"/>
                    </w:rPr>
                  </w:pPr>
                </w:p>
              </w:tc>
              <w:tc>
                <w:tcPr>
                  <w:tcW w:w="4648" w:type="dxa"/>
                  <w:vAlign w:val="center"/>
                </w:tcPr>
                <w:p w14:paraId="3CD4BB66">
                  <w:pPr>
                    <w:jc w:val="center"/>
                    <w:rPr>
                      <w:rFonts w:hint="eastAsia" w:ascii="宋体" w:hAnsi="宋体"/>
                      <w:sz w:val="24"/>
                    </w:rPr>
                  </w:pPr>
                </w:p>
              </w:tc>
            </w:tr>
            <w:tr w14:paraId="6A1C19AE">
              <w:trPr>
                <w:trHeight w:val="454" w:hRule="atLeast"/>
                <w:jc w:val="center"/>
              </w:trPr>
              <w:tc>
                <w:tcPr>
                  <w:tcW w:w="2070" w:type="dxa"/>
                  <w:vAlign w:val="center"/>
                </w:tcPr>
                <w:p w14:paraId="74E5CE40">
                  <w:pPr>
                    <w:jc w:val="center"/>
                    <w:rPr>
                      <w:rFonts w:hint="eastAsia" w:ascii="宋体" w:hAnsi="宋体"/>
                      <w:sz w:val="24"/>
                    </w:rPr>
                  </w:pPr>
                </w:p>
              </w:tc>
              <w:tc>
                <w:tcPr>
                  <w:tcW w:w="1589" w:type="dxa"/>
                  <w:vAlign w:val="center"/>
                </w:tcPr>
                <w:p w14:paraId="2F26765F">
                  <w:pPr>
                    <w:jc w:val="center"/>
                    <w:rPr>
                      <w:rFonts w:hint="eastAsia" w:ascii="宋体" w:hAnsi="宋体"/>
                      <w:sz w:val="24"/>
                    </w:rPr>
                  </w:pPr>
                </w:p>
              </w:tc>
              <w:tc>
                <w:tcPr>
                  <w:tcW w:w="4648" w:type="dxa"/>
                  <w:vAlign w:val="center"/>
                </w:tcPr>
                <w:p w14:paraId="7197DD92">
                  <w:pPr>
                    <w:jc w:val="center"/>
                    <w:rPr>
                      <w:rFonts w:hint="eastAsia" w:ascii="宋体" w:hAnsi="宋体"/>
                      <w:sz w:val="24"/>
                    </w:rPr>
                  </w:pPr>
                </w:p>
              </w:tc>
            </w:tr>
            <w:tr w14:paraId="1AD07140">
              <w:trPr>
                <w:trHeight w:val="454" w:hRule="atLeast"/>
                <w:jc w:val="center"/>
              </w:trPr>
              <w:tc>
                <w:tcPr>
                  <w:tcW w:w="2070" w:type="dxa"/>
                  <w:vAlign w:val="center"/>
                </w:tcPr>
                <w:p w14:paraId="53121AED">
                  <w:pPr>
                    <w:jc w:val="center"/>
                    <w:rPr>
                      <w:rFonts w:hint="eastAsia" w:ascii="宋体" w:hAnsi="宋体"/>
                      <w:sz w:val="24"/>
                    </w:rPr>
                  </w:pPr>
                </w:p>
              </w:tc>
              <w:tc>
                <w:tcPr>
                  <w:tcW w:w="1589" w:type="dxa"/>
                  <w:vAlign w:val="center"/>
                </w:tcPr>
                <w:p w14:paraId="789FD375">
                  <w:pPr>
                    <w:jc w:val="center"/>
                    <w:rPr>
                      <w:rFonts w:hint="eastAsia" w:ascii="宋体" w:hAnsi="宋体"/>
                      <w:sz w:val="24"/>
                    </w:rPr>
                  </w:pPr>
                </w:p>
              </w:tc>
              <w:tc>
                <w:tcPr>
                  <w:tcW w:w="4648" w:type="dxa"/>
                  <w:vAlign w:val="center"/>
                </w:tcPr>
                <w:p w14:paraId="268015C8">
                  <w:pPr>
                    <w:jc w:val="center"/>
                    <w:rPr>
                      <w:rFonts w:hint="eastAsia" w:ascii="宋体" w:hAnsi="宋体"/>
                      <w:sz w:val="24"/>
                    </w:rPr>
                  </w:pPr>
                </w:p>
              </w:tc>
            </w:tr>
          </w:tbl>
          <w:p w14:paraId="499564B0">
            <w:pPr>
              <w:spacing w:line="300" w:lineRule="auto"/>
              <w:rPr>
                <w:rFonts w:hint="eastAsia" w:ascii="宋体" w:hAnsi="宋体"/>
                <w:sz w:val="24"/>
              </w:rPr>
            </w:pPr>
          </w:p>
        </w:tc>
      </w:tr>
    </w:tbl>
    <w:p w14:paraId="79364EFF">
      <w:pPr>
        <w:spacing w:before="312" w:beforeLines="100" w:after="156" w:afterLines="50"/>
        <w:rPr>
          <w:b/>
          <w:sz w:val="32"/>
          <w:szCs w:val="32"/>
        </w:rPr>
      </w:pPr>
      <w:r>
        <w:rPr>
          <w:rFonts w:hint="eastAsia"/>
          <w:b/>
          <w:sz w:val="32"/>
          <w:szCs w:val="32"/>
        </w:rPr>
        <w:t>八、指导老师意见</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7404734F">
        <w:trPr>
          <w:trHeight w:val="936" w:hRule="atLeast"/>
          <w:jc w:val="center"/>
        </w:trPr>
        <w:tc>
          <w:tcPr>
            <w:tcW w:w="481" w:type="dxa"/>
            <w:vMerge w:val="restart"/>
            <w:vAlign w:val="center"/>
          </w:tcPr>
          <w:p w14:paraId="33817551">
            <w:pPr>
              <w:rPr>
                <w:b/>
                <w:sz w:val="24"/>
              </w:rPr>
            </w:pPr>
            <w:r>
              <w:rPr>
                <w:rFonts w:hint="eastAsia"/>
                <w:b/>
                <w:sz w:val="24"/>
                <w:szCs w:val="22"/>
              </w:rPr>
              <w:t>指导教师意见及指导计划</w:t>
            </w:r>
          </w:p>
        </w:tc>
        <w:tc>
          <w:tcPr>
            <w:tcW w:w="9458" w:type="dxa"/>
            <w:tcBorders>
              <w:bottom w:val="nil"/>
            </w:tcBorders>
          </w:tcPr>
          <w:p w14:paraId="087E6564">
            <w:pPr>
              <w:spacing w:line="300" w:lineRule="auto"/>
              <w:rPr>
                <w:rFonts w:hint="eastAsia" w:ascii="仿宋_GB2312" w:hAnsi="宋体" w:eastAsia="仿宋_GB2312"/>
                <w:sz w:val="24"/>
              </w:rPr>
            </w:pPr>
            <w:r>
              <w:rPr>
                <w:rFonts w:hint="eastAsia" w:ascii="仿宋_GB2312" w:hAnsi="宋体" w:eastAsia="仿宋_GB2312"/>
                <w:sz w:val="24"/>
              </w:rPr>
              <w:t>（指导教师指导项目实施的机会和安排，并从项目学科性、前沿性、可行性、研究性、可操作性和成效性加以评价）</w:t>
            </w:r>
          </w:p>
        </w:tc>
      </w:tr>
      <w:tr w14:paraId="2CD0CE12">
        <w:trPr>
          <w:trHeight w:val="4097" w:hRule="atLeast"/>
          <w:jc w:val="center"/>
        </w:trPr>
        <w:tc>
          <w:tcPr>
            <w:tcW w:w="481" w:type="dxa"/>
            <w:vMerge w:val="continue"/>
            <w:vAlign w:val="center"/>
          </w:tcPr>
          <w:p w14:paraId="69C89090">
            <w:pPr>
              <w:rPr>
                <w:b/>
                <w:sz w:val="24"/>
                <w:szCs w:val="22"/>
              </w:rPr>
            </w:pPr>
          </w:p>
        </w:tc>
        <w:tc>
          <w:tcPr>
            <w:tcW w:w="9458" w:type="dxa"/>
            <w:tcBorders>
              <w:top w:val="nil"/>
            </w:tcBorders>
          </w:tcPr>
          <w:p w14:paraId="4E5ECFAF">
            <w:pPr>
              <w:spacing w:line="300" w:lineRule="auto"/>
              <w:ind w:firstLine="480" w:firstLineChars="200"/>
              <w:jc w:val="left"/>
              <w:rPr>
                <w:rFonts w:hint="eastAsia" w:ascii="宋体" w:hAnsi="宋体"/>
                <w:sz w:val="24"/>
              </w:rPr>
            </w:pPr>
            <w:r>
              <w:rPr>
                <w:rFonts w:ascii="宋体" w:hAnsi="宋体"/>
                <w:sz w:val="24"/>
              </w:rPr>
              <w:t>本项目指导安排如下：每月开展1次线下进度沟通会，同步通过线上群实时解答研究疑问；在方案设计、样机研制、论文撰写等关键节点进行专项指导，协助解决技术难题。</w:t>
            </w:r>
          </w:p>
          <w:p w14:paraId="26525194">
            <w:pPr>
              <w:spacing w:line="300" w:lineRule="auto"/>
              <w:ind w:firstLine="480" w:firstLineChars="200"/>
              <w:jc w:val="left"/>
              <w:rPr>
                <w:rFonts w:hint="eastAsia" w:ascii="宋体" w:hAnsi="宋体"/>
                <w:sz w:val="24"/>
              </w:rPr>
            </w:pPr>
            <w:r>
              <w:rPr>
                <w:rFonts w:hint="eastAsia" w:ascii="宋体" w:hAnsi="宋体"/>
                <w:sz w:val="24"/>
              </w:rPr>
              <w:t>本项目在</w:t>
            </w:r>
            <w:r>
              <w:rPr>
                <w:rFonts w:ascii="宋体" w:hAnsi="宋体"/>
                <w:sz w:val="24"/>
              </w:rPr>
              <w:t>学科性上融合机械设计、传感控制、人机工程等多学科知识，学科交叉性强；前沿性聚焦仿生模块化与多模态传感技术，契合智能机器人领域发展趋势；可行性方面，技术路线清晰，进度安排合理，现有实验条件可支撑研究；研究性突出</w:t>
            </w:r>
            <w:r>
              <w:rPr>
                <w:rFonts w:hint="eastAsia" w:ascii="宋体" w:hAnsi="宋体"/>
                <w:sz w:val="24"/>
              </w:rPr>
              <w:t>造型与</w:t>
            </w:r>
            <w:r>
              <w:rPr>
                <w:rFonts w:ascii="宋体" w:hAnsi="宋体"/>
                <w:sz w:val="24"/>
              </w:rPr>
              <w:t>结构创新，具有明确研究价值；可操作性强，任务拆解细致，成果可应用于多场景，兼具学术与应用价值，同意项目实施。</w:t>
            </w:r>
          </w:p>
          <w:p w14:paraId="3F106EE9">
            <w:pPr>
              <w:spacing w:line="300" w:lineRule="auto"/>
              <w:jc w:val="left"/>
              <w:rPr>
                <w:rFonts w:hint="eastAsia" w:ascii="宋体" w:hAnsi="宋体"/>
                <w:sz w:val="24"/>
              </w:rPr>
            </w:pPr>
          </w:p>
          <w:p w14:paraId="747BB9CE">
            <w:pPr>
              <w:spacing w:line="300" w:lineRule="auto"/>
              <w:jc w:val="left"/>
              <w:rPr>
                <w:rFonts w:hint="eastAsia" w:ascii="宋体" w:hAnsi="宋体"/>
                <w:sz w:val="24"/>
              </w:rPr>
            </w:pPr>
          </w:p>
          <w:p w14:paraId="499419E2">
            <w:pPr>
              <w:tabs>
                <w:tab w:val="left" w:pos="5411"/>
              </w:tabs>
              <w:spacing w:after="156" w:afterLines="50" w:line="360" w:lineRule="auto"/>
              <w:ind w:right="964"/>
              <w:jc w:val="center"/>
              <w:rPr>
                <w:rFonts w:hint="eastAsia" w:ascii="仿宋_GB2312" w:hAnsi="宋体" w:eastAsia="仿宋_GB2312"/>
                <w:b/>
                <w:sz w:val="24"/>
              </w:rPr>
            </w:pPr>
            <w:r>
              <w:rPr>
                <w:rFonts w:hint="eastAsia" w:ascii="仿宋_GB2312" w:hAnsi="宋体" w:eastAsia="仿宋_GB2312"/>
                <w:b/>
                <w:sz w:val="24"/>
              </w:rPr>
              <w:t xml:space="preserve">   </w:t>
            </w:r>
            <w:r>
              <w:rPr>
                <w:rFonts w:ascii="仿宋_GB2312" w:hAnsi="宋体" w:eastAsia="仿宋_GB2312"/>
                <w:b/>
                <w:sz w:val="24"/>
              </w:rPr>
              <w:t xml:space="preserve">                               </w:t>
            </w:r>
            <w:r>
              <w:rPr>
                <w:rFonts w:hint="eastAsia" w:ascii="仿宋_GB2312" w:hAnsi="宋体" w:eastAsia="仿宋_GB2312"/>
                <w:b/>
                <w:sz w:val="24"/>
              </w:rPr>
              <w:t xml:space="preserve">指导教师签字：         </w:t>
            </w:r>
          </w:p>
          <w:p w14:paraId="51B1CB4B">
            <w:pPr>
              <w:spacing w:line="300" w:lineRule="auto"/>
              <w:jc w:val="right"/>
              <w:rPr>
                <w:rFonts w:hint="eastAsia" w:ascii="仿宋_GB2312" w:hAnsi="宋体" w:eastAsia="仿宋_GB2312"/>
                <w:sz w:val="24"/>
              </w:rPr>
            </w:pPr>
            <w:r>
              <w:rPr>
                <w:rFonts w:hint="eastAsia" w:ascii="仿宋_GB2312" w:hAnsi="宋体" w:eastAsia="仿宋_GB2312"/>
                <w:b/>
                <w:sz w:val="24"/>
              </w:rPr>
              <w:t>2025年 10 月 26 日</w:t>
            </w:r>
          </w:p>
        </w:tc>
      </w:tr>
    </w:tbl>
    <w:p w14:paraId="617E4980">
      <w:pPr>
        <w:spacing w:before="312" w:beforeLines="100" w:after="156" w:afterLines="50"/>
        <w:rPr>
          <w:b/>
          <w:sz w:val="32"/>
          <w:szCs w:val="32"/>
        </w:rPr>
      </w:pPr>
    </w:p>
    <w:p w14:paraId="44D69FD9">
      <w:pPr>
        <w:spacing w:before="312" w:beforeLines="100" w:after="156" w:afterLines="50"/>
        <w:rPr>
          <w:b/>
          <w:sz w:val="32"/>
          <w:szCs w:val="32"/>
        </w:rPr>
      </w:pPr>
      <w:r>
        <w:rPr>
          <w:rFonts w:hint="eastAsia"/>
          <w:b/>
          <w:sz w:val="32"/>
          <w:szCs w:val="32"/>
        </w:rPr>
        <w:t>九、审查意见</w:t>
      </w:r>
    </w:p>
    <w:tbl>
      <w:tblPr>
        <w:tblStyle w:val="14"/>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9458"/>
      </w:tblGrid>
      <w:tr w14:paraId="006D5B2A">
        <w:trPr>
          <w:trHeight w:val="4026" w:hRule="atLeast"/>
          <w:jc w:val="center"/>
        </w:trPr>
        <w:tc>
          <w:tcPr>
            <w:tcW w:w="481" w:type="dxa"/>
            <w:vAlign w:val="center"/>
          </w:tcPr>
          <w:p w14:paraId="78BF1455">
            <w:pPr>
              <w:rPr>
                <w:b/>
                <w:sz w:val="24"/>
              </w:rPr>
            </w:pPr>
            <w:r>
              <w:rPr>
                <w:rFonts w:hint="eastAsia"/>
                <w:b/>
                <w:sz w:val="24"/>
              </w:rPr>
              <w:t>答辩专家组意见</w:t>
            </w:r>
          </w:p>
        </w:tc>
        <w:tc>
          <w:tcPr>
            <w:tcW w:w="9458" w:type="dxa"/>
          </w:tcPr>
          <w:p w14:paraId="557BEC2D">
            <w:pPr>
              <w:spacing w:line="300" w:lineRule="auto"/>
              <w:rPr>
                <w:rFonts w:hint="eastAsia" w:ascii="宋体" w:hAnsi="宋体"/>
                <w:sz w:val="24"/>
              </w:rPr>
            </w:pPr>
          </w:p>
          <w:p w14:paraId="0E205863">
            <w:pPr>
              <w:spacing w:line="300" w:lineRule="auto"/>
              <w:rPr>
                <w:rFonts w:hint="eastAsia" w:ascii="宋体" w:hAnsi="宋体"/>
                <w:sz w:val="24"/>
              </w:rPr>
            </w:pPr>
          </w:p>
          <w:p w14:paraId="09EB7FDF">
            <w:pPr>
              <w:spacing w:line="300" w:lineRule="auto"/>
              <w:rPr>
                <w:rFonts w:hint="eastAsia" w:ascii="宋体" w:hAnsi="宋体"/>
                <w:sz w:val="24"/>
              </w:rPr>
            </w:pPr>
          </w:p>
          <w:p w14:paraId="2A954071">
            <w:pPr>
              <w:spacing w:line="300" w:lineRule="auto"/>
              <w:rPr>
                <w:rFonts w:hint="eastAsia" w:ascii="宋体" w:hAnsi="宋体"/>
                <w:sz w:val="24"/>
              </w:rPr>
            </w:pPr>
          </w:p>
          <w:p w14:paraId="3AD5EBE5">
            <w:pPr>
              <w:spacing w:line="300" w:lineRule="auto"/>
              <w:rPr>
                <w:rFonts w:hint="eastAsia" w:ascii="宋体" w:hAnsi="宋体"/>
                <w:sz w:val="24"/>
              </w:rPr>
            </w:pPr>
          </w:p>
          <w:p w14:paraId="3BC7768D">
            <w:pPr>
              <w:spacing w:line="300" w:lineRule="auto"/>
              <w:rPr>
                <w:rFonts w:hint="eastAsia" w:ascii="宋体" w:hAnsi="宋体"/>
                <w:sz w:val="24"/>
              </w:rPr>
            </w:pPr>
          </w:p>
          <w:p w14:paraId="6E1BC833">
            <w:pPr>
              <w:wordWrap w:val="0"/>
              <w:spacing w:after="156" w:afterLines="50" w:line="360" w:lineRule="auto"/>
              <w:jc w:val="right"/>
              <w:rPr>
                <w:rFonts w:hint="eastAsia" w:ascii="仿宋_GB2312" w:hAnsi="宋体" w:eastAsia="仿宋_GB2312"/>
                <w:b/>
                <w:sz w:val="24"/>
              </w:rPr>
            </w:pPr>
          </w:p>
          <w:p w14:paraId="3ADC4995">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答辩专家组签字：                </w:t>
            </w:r>
          </w:p>
          <w:p w14:paraId="2FFFB91D">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年  月  日</w:t>
            </w:r>
          </w:p>
        </w:tc>
      </w:tr>
      <w:tr w14:paraId="05C719A1">
        <w:trPr>
          <w:trHeight w:val="3773" w:hRule="atLeast"/>
          <w:jc w:val="center"/>
        </w:trPr>
        <w:tc>
          <w:tcPr>
            <w:tcW w:w="481" w:type="dxa"/>
            <w:tcBorders>
              <w:top w:val="single" w:color="auto" w:sz="4" w:space="0"/>
              <w:left w:val="single" w:color="auto" w:sz="4" w:space="0"/>
              <w:bottom w:val="single" w:color="auto" w:sz="4" w:space="0"/>
              <w:right w:val="single" w:color="auto" w:sz="4" w:space="0"/>
            </w:tcBorders>
            <w:vAlign w:val="center"/>
          </w:tcPr>
          <w:p w14:paraId="7E4F14A0">
            <w:pPr>
              <w:rPr>
                <w:b/>
                <w:sz w:val="24"/>
              </w:rPr>
            </w:pPr>
            <w:r>
              <w:rPr>
                <w:rFonts w:hint="eastAsia"/>
                <w:b/>
                <w:sz w:val="24"/>
              </w:rPr>
              <w:t>学院意见</w:t>
            </w:r>
          </w:p>
        </w:tc>
        <w:tc>
          <w:tcPr>
            <w:tcW w:w="9458" w:type="dxa"/>
            <w:tcBorders>
              <w:top w:val="single" w:color="auto" w:sz="4" w:space="0"/>
              <w:left w:val="single" w:color="auto" w:sz="4" w:space="0"/>
              <w:bottom w:val="single" w:color="auto" w:sz="4" w:space="0"/>
              <w:right w:val="single" w:color="auto" w:sz="4" w:space="0"/>
            </w:tcBorders>
          </w:tcPr>
          <w:p w14:paraId="3AD72B13">
            <w:pPr>
              <w:spacing w:line="300" w:lineRule="auto"/>
              <w:rPr>
                <w:rFonts w:hint="eastAsia" w:ascii="宋体" w:hAnsi="宋体"/>
                <w:sz w:val="24"/>
                <w:szCs w:val="21"/>
              </w:rPr>
            </w:pPr>
          </w:p>
          <w:p w14:paraId="6B9C3AF6">
            <w:pPr>
              <w:spacing w:line="300" w:lineRule="auto"/>
              <w:rPr>
                <w:rFonts w:hint="eastAsia" w:ascii="宋体" w:hAnsi="宋体"/>
                <w:sz w:val="24"/>
                <w:szCs w:val="21"/>
              </w:rPr>
            </w:pPr>
          </w:p>
          <w:p w14:paraId="638EDF02">
            <w:pPr>
              <w:spacing w:line="300" w:lineRule="auto"/>
              <w:rPr>
                <w:rFonts w:hint="eastAsia" w:ascii="宋体" w:hAnsi="宋体"/>
                <w:sz w:val="24"/>
                <w:szCs w:val="21"/>
              </w:rPr>
            </w:pPr>
          </w:p>
          <w:p w14:paraId="7B0E4270">
            <w:pPr>
              <w:spacing w:line="300" w:lineRule="auto"/>
              <w:rPr>
                <w:rFonts w:hint="eastAsia" w:ascii="宋体" w:hAnsi="宋体"/>
                <w:sz w:val="24"/>
                <w:szCs w:val="21"/>
              </w:rPr>
            </w:pPr>
          </w:p>
          <w:p w14:paraId="6D17C669">
            <w:pPr>
              <w:spacing w:line="300" w:lineRule="auto"/>
              <w:rPr>
                <w:rFonts w:hint="eastAsia" w:ascii="宋体" w:hAnsi="宋体"/>
                <w:sz w:val="24"/>
                <w:szCs w:val="21"/>
              </w:rPr>
            </w:pPr>
          </w:p>
          <w:p w14:paraId="44239092">
            <w:pPr>
              <w:spacing w:line="300" w:lineRule="auto"/>
              <w:rPr>
                <w:rFonts w:hint="eastAsia" w:ascii="宋体" w:hAnsi="宋体"/>
                <w:sz w:val="24"/>
                <w:szCs w:val="21"/>
              </w:rPr>
            </w:pPr>
          </w:p>
          <w:p w14:paraId="236E1692">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学院负责人签字：                </w:t>
            </w:r>
          </w:p>
          <w:p w14:paraId="5164973C">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14:paraId="1B0ABB7B">
            <w:pPr>
              <w:spacing w:line="300" w:lineRule="auto"/>
              <w:jc w:val="right"/>
              <w:rPr>
                <w:rFonts w:hint="eastAsia" w:ascii="仿宋_GB2312" w:hAnsi="宋体" w:eastAsia="仿宋_GB2312"/>
                <w:szCs w:val="21"/>
              </w:rPr>
            </w:pPr>
            <w:r>
              <w:rPr>
                <w:rFonts w:hint="eastAsia" w:ascii="仿宋_GB2312" w:hAnsi="宋体" w:eastAsia="仿宋_GB2312"/>
                <w:sz w:val="24"/>
              </w:rPr>
              <w:t>（学院盖章）</w:t>
            </w:r>
          </w:p>
        </w:tc>
      </w:tr>
      <w:tr w14:paraId="3A0613C7">
        <w:trPr>
          <w:trHeight w:val="4806" w:hRule="atLeast"/>
          <w:jc w:val="center"/>
        </w:trPr>
        <w:tc>
          <w:tcPr>
            <w:tcW w:w="481" w:type="dxa"/>
            <w:tcBorders>
              <w:top w:val="single" w:color="auto" w:sz="4" w:space="0"/>
              <w:left w:val="single" w:color="auto" w:sz="4" w:space="0"/>
              <w:bottom w:val="single" w:color="auto" w:sz="4" w:space="0"/>
              <w:right w:val="single" w:color="auto" w:sz="4" w:space="0"/>
            </w:tcBorders>
            <w:vAlign w:val="center"/>
          </w:tcPr>
          <w:p w14:paraId="422EF4F4">
            <w:pPr>
              <w:rPr>
                <w:b/>
                <w:sz w:val="24"/>
              </w:rPr>
            </w:pPr>
            <w:r>
              <w:rPr>
                <w:rFonts w:hint="eastAsia"/>
                <w:b/>
                <w:sz w:val="24"/>
              </w:rPr>
              <w:t>学校意见</w:t>
            </w:r>
          </w:p>
        </w:tc>
        <w:tc>
          <w:tcPr>
            <w:tcW w:w="9458" w:type="dxa"/>
            <w:tcBorders>
              <w:top w:val="single" w:color="auto" w:sz="4" w:space="0"/>
              <w:left w:val="single" w:color="auto" w:sz="4" w:space="0"/>
              <w:bottom w:val="single" w:color="auto" w:sz="4" w:space="0"/>
              <w:right w:val="single" w:color="auto" w:sz="4" w:space="0"/>
            </w:tcBorders>
          </w:tcPr>
          <w:p w14:paraId="1E7808B6">
            <w:pPr>
              <w:spacing w:line="300" w:lineRule="auto"/>
              <w:rPr>
                <w:rFonts w:hint="eastAsia" w:ascii="宋体" w:hAnsi="宋体"/>
                <w:sz w:val="24"/>
                <w:szCs w:val="21"/>
              </w:rPr>
            </w:pPr>
          </w:p>
          <w:p w14:paraId="7DF3004F">
            <w:pPr>
              <w:spacing w:line="300" w:lineRule="auto"/>
              <w:rPr>
                <w:rFonts w:hint="eastAsia" w:ascii="宋体" w:hAnsi="宋体"/>
                <w:sz w:val="24"/>
                <w:szCs w:val="21"/>
              </w:rPr>
            </w:pPr>
          </w:p>
          <w:p w14:paraId="6E5FE0DD">
            <w:pPr>
              <w:spacing w:line="300" w:lineRule="auto"/>
              <w:rPr>
                <w:rFonts w:hint="eastAsia" w:ascii="宋体" w:hAnsi="宋体"/>
                <w:sz w:val="24"/>
                <w:szCs w:val="21"/>
              </w:rPr>
            </w:pPr>
          </w:p>
          <w:p w14:paraId="6F427C63">
            <w:pPr>
              <w:spacing w:line="300" w:lineRule="auto"/>
              <w:rPr>
                <w:rFonts w:hint="eastAsia" w:ascii="宋体" w:hAnsi="宋体"/>
                <w:sz w:val="24"/>
                <w:szCs w:val="21"/>
              </w:rPr>
            </w:pPr>
          </w:p>
          <w:p w14:paraId="64AAD6C7">
            <w:pPr>
              <w:spacing w:line="300" w:lineRule="auto"/>
              <w:rPr>
                <w:rFonts w:hint="eastAsia" w:ascii="宋体" w:hAnsi="宋体"/>
                <w:sz w:val="24"/>
                <w:szCs w:val="21"/>
              </w:rPr>
            </w:pPr>
          </w:p>
          <w:p w14:paraId="08FE7107">
            <w:pPr>
              <w:spacing w:line="300" w:lineRule="auto"/>
              <w:rPr>
                <w:rFonts w:hint="eastAsia" w:ascii="宋体" w:hAnsi="宋体"/>
                <w:sz w:val="24"/>
                <w:szCs w:val="21"/>
              </w:rPr>
            </w:pPr>
          </w:p>
          <w:p w14:paraId="2442E021">
            <w:pPr>
              <w:spacing w:line="300" w:lineRule="auto"/>
              <w:rPr>
                <w:rFonts w:hint="eastAsia" w:ascii="宋体" w:hAnsi="宋体"/>
                <w:sz w:val="24"/>
                <w:szCs w:val="21"/>
              </w:rPr>
            </w:pPr>
          </w:p>
          <w:p w14:paraId="349D0983">
            <w:pPr>
              <w:spacing w:line="300" w:lineRule="auto"/>
              <w:rPr>
                <w:rFonts w:hint="eastAsia" w:ascii="宋体" w:hAnsi="宋体"/>
                <w:sz w:val="24"/>
                <w:szCs w:val="21"/>
              </w:rPr>
            </w:pPr>
          </w:p>
          <w:p w14:paraId="0782B0EC">
            <w:pPr>
              <w:wordWrap w:val="0"/>
              <w:spacing w:after="156" w:afterLines="50" w:line="360" w:lineRule="auto"/>
              <w:jc w:val="right"/>
              <w:rPr>
                <w:rFonts w:hint="eastAsia" w:ascii="仿宋_GB2312" w:hAnsi="宋体" w:eastAsia="仿宋_GB2312"/>
                <w:b/>
                <w:sz w:val="24"/>
              </w:rPr>
            </w:pPr>
            <w:r>
              <w:rPr>
                <w:rFonts w:hint="eastAsia" w:ascii="仿宋_GB2312" w:hAnsi="宋体" w:eastAsia="仿宋_GB2312"/>
                <w:b/>
                <w:sz w:val="24"/>
              </w:rPr>
              <w:t xml:space="preserve">负责人签字：                </w:t>
            </w:r>
          </w:p>
          <w:p w14:paraId="3BCA0867">
            <w:pPr>
              <w:spacing w:line="300" w:lineRule="auto"/>
              <w:jc w:val="right"/>
              <w:rPr>
                <w:rFonts w:hint="eastAsia" w:ascii="仿宋_GB2312" w:hAnsi="宋体" w:eastAsia="仿宋_GB2312"/>
                <w:b/>
                <w:sz w:val="24"/>
              </w:rPr>
            </w:pPr>
            <w:r>
              <w:rPr>
                <w:rFonts w:hint="eastAsia" w:ascii="仿宋_GB2312" w:hAnsi="宋体" w:eastAsia="仿宋_GB2312"/>
                <w:b/>
                <w:sz w:val="24"/>
              </w:rPr>
              <w:t>年  月  日</w:t>
            </w:r>
          </w:p>
          <w:p w14:paraId="50B139E0">
            <w:pPr>
              <w:spacing w:line="300" w:lineRule="auto"/>
              <w:jc w:val="right"/>
              <w:rPr>
                <w:rFonts w:hint="eastAsia" w:ascii="仿宋_GB2312" w:hAnsi="宋体" w:eastAsia="仿宋_GB2312"/>
                <w:szCs w:val="21"/>
              </w:rPr>
            </w:pPr>
            <w:r>
              <w:rPr>
                <w:rFonts w:hint="eastAsia" w:ascii="仿宋_GB2312" w:hAnsi="宋体" w:eastAsia="仿宋_GB2312"/>
                <w:sz w:val="24"/>
              </w:rPr>
              <w:t>（盖章）</w:t>
            </w:r>
          </w:p>
        </w:tc>
      </w:tr>
      <w:bookmarkEnd w:id="0"/>
      <w:bookmarkEnd w:id="1"/>
    </w:tbl>
    <w:p w14:paraId="16318520"/>
    <w:p w14:paraId="04CCC936">
      <w:pPr>
        <w:pStyle w:val="3"/>
        <w:jc w:val="center"/>
        <w:rPr>
          <w:rFonts w:ascii="Times New Roman" w:hAnsi="Times New Roman"/>
          <w:snapToGrid w:val="0"/>
          <w:kern w:val="0"/>
        </w:rPr>
      </w:pPr>
      <w:r>
        <w:rPr>
          <w:rFonts w:hint="eastAsia" w:ascii="仿宋_GB2312" w:eastAsia="仿宋_GB2312"/>
        </w:rPr>
        <w:t>附：</w:t>
      </w:r>
      <w:r>
        <w:rPr>
          <w:rFonts w:hint="eastAsia" w:ascii="Times New Roman"/>
          <w:snapToGrid w:val="0"/>
          <w:kern w:val="0"/>
        </w:rPr>
        <w:t>华东理工</w:t>
      </w:r>
      <w:r>
        <w:rPr>
          <w:rFonts w:ascii="Times New Roman"/>
          <w:snapToGrid w:val="0"/>
          <w:kern w:val="0"/>
        </w:rPr>
        <w:t>大学</w:t>
      </w:r>
      <w:r>
        <w:rPr>
          <w:rFonts w:hint="eastAsia" w:ascii="Times New Roman"/>
          <w:snapToGrid w:val="0"/>
          <w:kern w:val="0"/>
        </w:rPr>
        <w:t>“</w:t>
      </w:r>
      <w:r>
        <w:rPr>
          <w:rFonts w:ascii="Times New Roman"/>
          <w:snapToGrid w:val="0"/>
          <w:kern w:val="0"/>
        </w:rPr>
        <w:t>大学生</w:t>
      </w:r>
      <w:r>
        <w:rPr>
          <w:rFonts w:hint="eastAsia" w:ascii="Times New Roman"/>
          <w:snapToGrid w:val="0"/>
          <w:kern w:val="0"/>
        </w:rPr>
        <w:t>创新创业训练</w:t>
      </w:r>
      <w:r>
        <w:rPr>
          <w:rFonts w:ascii="Times New Roman"/>
          <w:snapToGrid w:val="0"/>
          <w:kern w:val="0"/>
        </w:rPr>
        <w:t>计划</w:t>
      </w:r>
      <w:r>
        <w:rPr>
          <w:rFonts w:hint="eastAsia" w:ascii="Times New Roman"/>
          <w:snapToGrid w:val="0"/>
          <w:kern w:val="0"/>
        </w:rPr>
        <w:t>”</w:t>
      </w:r>
      <w:r>
        <w:rPr>
          <w:rFonts w:ascii="Times New Roman"/>
          <w:snapToGrid w:val="0"/>
          <w:kern w:val="0"/>
        </w:rPr>
        <w:t>项目承诺书</w:t>
      </w:r>
    </w:p>
    <w:p w14:paraId="3F4FD304">
      <w:pPr>
        <w:adjustRightInd w:val="0"/>
        <w:snapToGrid w:val="0"/>
        <w:spacing w:line="360" w:lineRule="auto"/>
        <w:ind w:firstLine="508" w:firstLineChars="212"/>
        <w:rPr>
          <w:rFonts w:ascii="华文隶书" w:eastAsia="华文隶书"/>
          <w:snapToGrid w:val="0"/>
          <w:color w:val="000000"/>
          <w:kern w:val="0"/>
          <w:sz w:val="24"/>
          <w:szCs w:val="23"/>
        </w:rPr>
      </w:pPr>
    </w:p>
    <w:p w14:paraId="745F1558">
      <w:pPr>
        <w:adjustRightInd w:val="0"/>
        <w:snapToGrid w:val="0"/>
        <w:spacing w:line="360" w:lineRule="auto"/>
        <w:ind w:firstLine="508" w:firstLineChars="212"/>
        <w:rPr>
          <w:rFonts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为确保</w:t>
      </w:r>
      <w:r>
        <w:rPr>
          <w:rFonts w:hint="eastAsia" w:ascii="仿宋_GB2312" w:eastAsia="仿宋_GB2312"/>
          <w:snapToGrid w:val="0"/>
          <w:color w:val="000000"/>
          <w:kern w:val="0"/>
          <w:sz w:val="24"/>
          <w:szCs w:val="23"/>
        </w:rPr>
        <w:t>“</w:t>
      </w:r>
      <w:r>
        <w:rPr>
          <w:rFonts w:hint="eastAsia" w:ascii="仿宋_GB2312" w:hAnsi="宋体" w:eastAsia="仿宋_GB2312"/>
          <w:snapToGrid w:val="0"/>
          <w:color w:val="000000"/>
          <w:kern w:val="0"/>
          <w:sz w:val="24"/>
          <w:szCs w:val="23"/>
        </w:rPr>
        <w:t>大学生创新创业训练计划</w:t>
      </w:r>
      <w:r>
        <w:rPr>
          <w:rFonts w:hint="eastAsia" w:ascii="仿宋_GB2312" w:eastAsia="仿宋_GB2312"/>
          <w:snapToGrid w:val="0"/>
          <w:color w:val="000000"/>
          <w:kern w:val="0"/>
          <w:sz w:val="24"/>
          <w:szCs w:val="23"/>
        </w:rPr>
        <w:t>”项目的</w:t>
      </w:r>
      <w:r>
        <w:rPr>
          <w:rFonts w:hint="eastAsia" w:ascii="仿宋_GB2312" w:hAnsi="宋体" w:eastAsia="仿宋_GB2312"/>
          <w:snapToGrid w:val="0"/>
          <w:color w:val="000000"/>
          <w:kern w:val="0"/>
          <w:sz w:val="24"/>
          <w:szCs w:val="23"/>
        </w:rPr>
        <w:t>顺利实施，本项目承诺遵守以下条款要求：</w:t>
      </w:r>
    </w:p>
    <w:p w14:paraId="7EC2C973">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1  </w:t>
      </w:r>
      <w:r>
        <w:rPr>
          <w:rFonts w:hint="eastAsia" w:ascii="仿宋_GB2312" w:eastAsia="仿宋_GB2312"/>
          <w:sz w:val="24"/>
        </w:rPr>
        <w:t>在项目实施的过程中遵守学校有关规定，恪守学术规范，真正做到诚实守信，实事求是；</w:t>
      </w:r>
    </w:p>
    <w:p w14:paraId="11B743FB">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2  </w:t>
      </w:r>
      <w:r>
        <w:rPr>
          <w:rFonts w:hint="eastAsia" w:ascii="仿宋_GB2312" w:hAnsi="宋体" w:eastAsia="仿宋_GB2312"/>
          <w:snapToGrid w:val="0"/>
          <w:color w:val="000000"/>
          <w:kern w:val="0"/>
          <w:sz w:val="24"/>
          <w:szCs w:val="23"/>
        </w:rPr>
        <w:t>项目经费严格按学校</w:t>
      </w:r>
      <w:r>
        <w:rPr>
          <w:rFonts w:hint="eastAsia" w:ascii="仿宋_GB2312" w:eastAsia="仿宋_GB2312"/>
          <w:snapToGrid w:val="0"/>
          <w:color w:val="000000"/>
          <w:kern w:val="0"/>
          <w:sz w:val="24"/>
          <w:szCs w:val="23"/>
        </w:rPr>
        <w:t xml:space="preserve"> “</w:t>
      </w:r>
      <w:r>
        <w:rPr>
          <w:rFonts w:hint="eastAsia" w:ascii="仿宋_GB2312" w:hAnsi="宋体" w:eastAsia="仿宋_GB2312"/>
          <w:snapToGrid w:val="0"/>
          <w:color w:val="000000"/>
          <w:kern w:val="0"/>
          <w:sz w:val="24"/>
          <w:szCs w:val="23"/>
        </w:rPr>
        <w:t>大学生创新创业训练计划</w:t>
      </w:r>
      <w:r>
        <w:rPr>
          <w:rFonts w:hint="eastAsia" w:ascii="仿宋_GB2312" w:eastAsia="仿宋_GB2312"/>
          <w:snapToGrid w:val="0"/>
          <w:color w:val="000000"/>
          <w:kern w:val="0"/>
          <w:sz w:val="24"/>
          <w:szCs w:val="23"/>
        </w:rPr>
        <w:t>”</w:t>
      </w:r>
      <w:r>
        <w:rPr>
          <w:rFonts w:hint="eastAsia" w:ascii="仿宋_GB2312" w:hAnsi="宋体" w:eastAsia="仿宋_GB2312"/>
          <w:snapToGrid w:val="0"/>
          <w:color w:val="000000"/>
          <w:kern w:val="0"/>
          <w:sz w:val="24"/>
          <w:szCs w:val="23"/>
        </w:rPr>
        <w:t>项目管理的有关规定执行，按照专款专用原则，</w:t>
      </w:r>
      <w:r>
        <w:rPr>
          <w:rFonts w:hint="eastAsia" w:ascii="仿宋_GB2312" w:eastAsia="仿宋_GB2312"/>
          <w:sz w:val="24"/>
        </w:rPr>
        <w:t>保证项目经费的有效合理使用</w:t>
      </w:r>
      <w:r>
        <w:rPr>
          <w:rFonts w:hint="eastAsia" w:ascii="仿宋_GB2312" w:hAnsi="宋体" w:eastAsia="仿宋_GB2312"/>
          <w:snapToGrid w:val="0"/>
          <w:color w:val="000000"/>
          <w:kern w:val="0"/>
          <w:sz w:val="24"/>
          <w:szCs w:val="23"/>
        </w:rPr>
        <w:t>；</w:t>
      </w:r>
      <w:r>
        <w:rPr>
          <w:rFonts w:hint="eastAsia" w:ascii="仿宋_GB2312" w:eastAsia="仿宋_GB2312"/>
          <w:snapToGrid w:val="0"/>
          <w:color w:val="000000"/>
          <w:kern w:val="0"/>
          <w:sz w:val="24"/>
          <w:szCs w:val="23"/>
        </w:rPr>
        <w:t xml:space="preserve"> </w:t>
      </w:r>
    </w:p>
    <w:p w14:paraId="3EB7A9C2">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3  </w:t>
      </w:r>
      <w:r>
        <w:rPr>
          <w:rFonts w:hint="eastAsia" w:ascii="仿宋_GB2312" w:hAnsi="宋体" w:eastAsia="仿宋_GB2312"/>
          <w:snapToGrid w:val="0"/>
          <w:color w:val="000000"/>
          <w:kern w:val="0"/>
          <w:sz w:val="24"/>
          <w:szCs w:val="23"/>
        </w:rPr>
        <w:t>接受学校及学院对本项目的检查与监督；</w:t>
      </w:r>
    </w:p>
    <w:p w14:paraId="26F84C72">
      <w:pPr>
        <w:adjustRightInd w:val="0"/>
        <w:snapToGrid w:val="0"/>
        <w:spacing w:line="360" w:lineRule="auto"/>
        <w:ind w:firstLine="513" w:firstLineChars="214"/>
        <w:rPr>
          <w:rFonts w:ascii="仿宋_GB2312" w:eastAsia="仿宋_GB2312"/>
          <w:sz w:val="24"/>
        </w:rPr>
      </w:pPr>
      <w:r>
        <w:rPr>
          <w:rFonts w:hint="eastAsia" w:ascii="仿宋_GB2312" w:eastAsia="仿宋_GB2312"/>
          <w:snapToGrid w:val="0"/>
          <w:color w:val="000000"/>
          <w:kern w:val="0"/>
          <w:sz w:val="24"/>
          <w:szCs w:val="23"/>
        </w:rPr>
        <w:t>4</w:t>
      </w:r>
      <w:r>
        <w:rPr>
          <w:rFonts w:hint="eastAsia" w:ascii="仿宋_GB2312" w:hAnsi="宋体" w:eastAsia="仿宋_GB2312"/>
          <w:snapToGrid w:val="0"/>
          <w:color w:val="000000"/>
          <w:kern w:val="0"/>
          <w:sz w:val="24"/>
          <w:szCs w:val="23"/>
        </w:rPr>
        <w:t>．</w:t>
      </w:r>
      <w:r>
        <w:rPr>
          <w:rFonts w:hint="eastAsia" w:ascii="仿宋_GB2312" w:eastAsia="仿宋_GB2312"/>
          <w:sz w:val="24"/>
        </w:rPr>
        <w:t>保证研究项目的有序进行，并按华东理工大学“大学生创新创业训练计划”项目管理办法的要求</w:t>
      </w:r>
      <w:r>
        <w:rPr>
          <w:rFonts w:hint="eastAsia" w:ascii="仿宋_GB2312" w:hAnsi="宋体" w:eastAsia="仿宋_GB2312"/>
          <w:sz w:val="24"/>
        </w:rPr>
        <w:t>，接受学校的中期检查。</w:t>
      </w:r>
    </w:p>
    <w:p w14:paraId="1E998A82">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z w:val="24"/>
        </w:rPr>
        <w:t xml:space="preserve">5  </w:t>
      </w:r>
      <w:r>
        <w:rPr>
          <w:rFonts w:hint="eastAsia" w:ascii="仿宋_GB2312" w:hAnsi="宋体" w:eastAsia="仿宋_GB2312"/>
          <w:sz w:val="24"/>
        </w:rPr>
        <w:t>按期完成研究项目</w:t>
      </w:r>
      <w:r>
        <w:rPr>
          <w:rFonts w:hint="eastAsia" w:ascii="仿宋_GB2312" w:hAnsi="宋体" w:eastAsia="仿宋_GB2312"/>
          <w:sz w:val="24"/>
          <w:szCs w:val="23"/>
        </w:rPr>
        <w:t>并由负责人提交结题报告及有关研究成果、</w:t>
      </w:r>
      <w:r>
        <w:rPr>
          <w:rFonts w:hint="eastAsia" w:ascii="仿宋_GB2312" w:hAnsi="宋体" w:eastAsia="仿宋_GB2312"/>
          <w:snapToGrid w:val="0"/>
          <w:color w:val="000000"/>
          <w:kern w:val="0"/>
          <w:sz w:val="24"/>
          <w:szCs w:val="23"/>
        </w:rPr>
        <w:t>项目经费决算（含使用明细）、等材料，并且归还仪器设备、工具、资料等；</w:t>
      </w:r>
    </w:p>
    <w:p w14:paraId="03634F95">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6  </w:t>
      </w:r>
      <w:r>
        <w:rPr>
          <w:rFonts w:hint="eastAsia" w:ascii="仿宋_GB2312" w:hAnsi="宋体" w:eastAsia="仿宋_GB2312"/>
          <w:snapToGrid w:val="0"/>
          <w:color w:val="000000"/>
          <w:kern w:val="0"/>
          <w:sz w:val="24"/>
          <w:szCs w:val="23"/>
        </w:rPr>
        <w:t>因主观原因致使项目无法执行的，将根据实际情况退回全部或部分资助经费；</w:t>
      </w:r>
    </w:p>
    <w:p w14:paraId="13F0BD01">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7  </w:t>
      </w:r>
      <w:r>
        <w:rPr>
          <w:rFonts w:hint="eastAsia" w:ascii="仿宋_GB2312" w:hAnsi="宋体" w:eastAsia="仿宋_GB2312"/>
          <w:snapToGrid w:val="0"/>
          <w:color w:val="000000"/>
          <w:kern w:val="0"/>
          <w:sz w:val="24"/>
          <w:szCs w:val="23"/>
        </w:rPr>
        <w:t>研究成果如果需要按技术秘密进行保密的，项目负责人及指导教师应制定具体方案并报学校批准；</w:t>
      </w:r>
    </w:p>
    <w:p w14:paraId="158F99D8">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8  </w:t>
      </w:r>
      <w:r>
        <w:rPr>
          <w:rFonts w:hint="eastAsia" w:ascii="仿宋_GB2312" w:hAnsi="宋体" w:eastAsia="仿宋_GB2312"/>
          <w:snapToGrid w:val="0"/>
          <w:color w:val="000000"/>
          <w:kern w:val="0"/>
          <w:sz w:val="24"/>
          <w:szCs w:val="23"/>
        </w:rPr>
        <w:t>凡研究工作有发明创造，经学校科研院审查符合条件的，可由科研院协助申报专利，以保护知识产权，维护学校的合法权益；</w:t>
      </w:r>
    </w:p>
    <w:p w14:paraId="410DBC13">
      <w:pPr>
        <w:adjustRightInd w:val="0"/>
        <w:snapToGrid w:val="0"/>
        <w:spacing w:line="360" w:lineRule="auto"/>
        <w:ind w:firstLine="513" w:firstLineChars="214"/>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9  </w:t>
      </w:r>
      <w:r>
        <w:rPr>
          <w:rFonts w:hint="eastAsia" w:ascii="仿宋_GB2312" w:hAnsi="宋体" w:eastAsia="仿宋_GB2312"/>
          <w:snapToGrid w:val="0"/>
          <w:color w:val="000000"/>
          <w:kern w:val="0"/>
          <w:sz w:val="24"/>
          <w:szCs w:val="23"/>
        </w:rPr>
        <w:t>本承诺书由本项目全体成员及指导老师签字并经创新创业学院确认后生效，如有违反，愿承担相应责任。</w:t>
      </w:r>
    </w:p>
    <w:p w14:paraId="46F4FF1E">
      <w:pPr>
        <w:adjustRightInd w:val="0"/>
        <w:snapToGrid w:val="0"/>
        <w:spacing w:line="360" w:lineRule="auto"/>
        <w:ind w:firstLine="480" w:firstLineChars="200"/>
        <w:rPr>
          <w:rFonts w:ascii="仿宋_GB2312" w:eastAsia="仿宋_GB2312"/>
          <w:snapToGrid w:val="0"/>
          <w:color w:val="000000"/>
          <w:kern w:val="0"/>
          <w:sz w:val="24"/>
          <w:szCs w:val="23"/>
        </w:rPr>
      </w:pPr>
    </w:p>
    <w:p w14:paraId="3FEBF00D">
      <w:pPr>
        <w:adjustRightInd w:val="0"/>
        <w:snapToGrid w:val="0"/>
        <w:spacing w:line="360" w:lineRule="auto"/>
        <w:ind w:firstLine="480" w:firstLineChars="200"/>
        <w:rPr>
          <w:rFonts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项目成员（签字）：</w:t>
      </w:r>
      <w:r>
        <w:rPr>
          <w:rFonts w:hint="eastAsia" w:ascii="仿宋_GB2312" w:eastAsia="仿宋_GB2312"/>
          <w:snapToGrid w:val="0"/>
          <w:color w:val="000000"/>
          <w:kern w:val="0"/>
          <w:sz w:val="24"/>
          <w:szCs w:val="23"/>
        </w:rPr>
        <w:t xml:space="preserve">                               </w:t>
      </w:r>
    </w:p>
    <w:p w14:paraId="5964E781">
      <w:pPr>
        <w:tabs>
          <w:tab w:val="right" w:pos="9070"/>
        </w:tabs>
        <w:adjustRightInd w:val="0"/>
        <w:snapToGrid w:val="0"/>
        <w:spacing w:line="360" w:lineRule="auto"/>
        <w:ind w:firstLine="480" w:firstLineChars="200"/>
        <w:rPr>
          <w:rFonts w:ascii="仿宋_GB2312" w:eastAsia="仿宋_GB2312"/>
          <w:snapToGrid w:val="0"/>
          <w:color w:val="000000"/>
          <w:kern w:val="0"/>
          <w:sz w:val="24"/>
          <w:szCs w:val="23"/>
        </w:rPr>
      </w:pPr>
      <w:r>
        <w:rPr>
          <w:rFonts w:hint="eastAsia" w:ascii="仿宋_GB2312" w:hAnsi="宋体" w:eastAsia="仿宋_GB2312"/>
          <w:snapToGrid w:val="0"/>
          <w:color w:val="000000"/>
          <w:kern w:val="0"/>
          <w:sz w:val="24"/>
          <w:szCs w:val="23"/>
        </w:rPr>
        <w:t>指导教师（签字）：</w:t>
      </w:r>
      <w:r>
        <w:rPr>
          <w:rFonts w:hint="eastAsia" w:ascii="仿宋_GB2312" w:eastAsia="仿宋_GB2312"/>
          <w:snapToGrid w:val="0"/>
          <w:color w:val="000000"/>
          <w:kern w:val="0"/>
          <w:sz w:val="24"/>
          <w:szCs w:val="23"/>
        </w:rPr>
        <w:t xml:space="preserve">  </w:t>
      </w:r>
    </w:p>
    <w:p w14:paraId="0F123654">
      <w:pPr>
        <w:adjustRightInd w:val="0"/>
        <w:snapToGrid w:val="0"/>
        <w:spacing w:line="360" w:lineRule="auto"/>
        <w:ind w:left="4139" w:leftChars="1971" w:firstLine="2160" w:firstLineChars="900"/>
        <w:rPr>
          <w:rFonts w:ascii="仿宋_GB2312" w:eastAsia="仿宋_GB2312"/>
          <w:snapToGrid w:val="0"/>
          <w:color w:val="000000"/>
          <w:kern w:val="0"/>
          <w:sz w:val="24"/>
          <w:szCs w:val="23"/>
        </w:rPr>
      </w:pPr>
    </w:p>
    <w:p w14:paraId="48BAEEA9">
      <w:pPr>
        <w:wordWrap w:val="0"/>
        <w:adjustRightInd w:val="0"/>
        <w:snapToGrid w:val="0"/>
        <w:spacing w:line="360" w:lineRule="auto"/>
        <w:ind w:left="4139" w:leftChars="1971" w:firstLine="2160" w:firstLineChars="900"/>
        <w:jc w:val="right"/>
        <w:rPr>
          <w:rFonts w:ascii="仿宋_GB2312" w:eastAsia="仿宋_GB2312"/>
          <w:snapToGrid w:val="0"/>
          <w:color w:val="000000"/>
          <w:kern w:val="0"/>
          <w:sz w:val="24"/>
          <w:szCs w:val="23"/>
        </w:rPr>
      </w:pPr>
      <w:r>
        <w:rPr>
          <w:rFonts w:hint="eastAsia" w:ascii="仿宋_GB2312" w:eastAsia="仿宋_GB2312"/>
          <w:snapToGrid w:val="0"/>
          <w:color w:val="000000"/>
          <w:kern w:val="0"/>
          <w:sz w:val="24"/>
          <w:szCs w:val="23"/>
        </w:rPr>
        <w:t xml:space="preserve">  2025年 11 月 8日 </w:t>
      </w:r>
    </w:p>
    <w:p w14:paraId="4662A16F">
      <w:pPr>
        <w:tabs>
          <w:tab w:val="left" w:pos="540"/>
        </w:tabs>
        <w:adjustRightInd w:val="0"/>
        <w:snapToGrid w:val="0"/>
        <w:spacing w:line="360" w:lineRule="auto"/>
        <w:ind w:left="4139" w:leftChars="1971" w:firstLine="1680" w:firstLineChars="700"/>
        <w:rPr>
          <w:rFonts w:ascii="仿宋_GB2312" w:eastAsia="仿宋_GB2312"/>
          <w:snapToGrid w:val="0"/>
          <w:color w:val="000000"/>
          <w:kern w:val="0"/>
          <w:sz w:val="24"/>
          <w:szCs w:val="23"/>
        </w:rPr>
      </w:pPr>
    </w:p>
    <w:p w14:paraId="50D80992">
      <w:pPr>
        <w:tabs>
          <w:tab w:val="left" w:pos="540"/>
        </w:tabs>
        <w:adjustRightInd w:val="0"/>
        <w:snapToGrid w:val="0"/>
        <w:spacing w:line="360" w:lineRule="auto"/>
        <w:ind w:left="4139" w:leftChars="1971" w:firstLine="1680" w:firstLineChars="700"/>
        <w:rPr>
          <w:rFonts w:ascii="仿宋_GB2312" w:eastAsia="仿宋_GB2312"/>
          <w:snapToGrid w:val="0"/>
          <w:color w:val="000000"/>
          <w:kern w:val="0"/>
          <w:sz w:val="24"/>
          <w:szCs w:val="23"/>
        </w:rPr>
      </w:pPr>
    </w:p>
    <w:p w14:paraId="0AF4159C">
      <w:pPr>
        <w:adjustRightInd w:val="0"/>
        <w:snapToGrid w:val="0"/>
        <w:spacing w:line="360" w:lineRule="auto"/>
        <w:ind w:left="933" w:leftChars="1" w:hanging="931" w:hangingChars="388"/>
        <w:rPr>
          <w:rFonts w:ascii="仿宋_GB2312" w:eastAsia="仿宋_GB2312"/>
          <w:sz w:val="32"/>
        </w:rPr>
      </w:pPr>
      <w:r>
        <w:rPr>
          <w:rFonts w:hint="eastAsia" w:ascii="仿宋_GB2312" w:hAnsi="宋体" w:eastAsia="仿宋_GB2312"/>
          <w:snapToGrid w:val="0"/>
          <w:color w:val="000000"/>
          <w:kern w:val="0"/>
          <w:sz w:val="24"/>
          <w:szCs w:val="23"/>
        </w:rPr>
        <w:t>说明</w:t>
      </w:r>
      <w:r>
        <w:rPr>
          <w:rFonts w:hint="eastAsia" w:ascii="仿宋_GB2312" w:eastAsia="仿宋_GB2312"/>
          <w:snapToGrid w:val="0"/>
          <w:color w:val="000000"/>
          <w:kern w:val="0"/>
          <w:sz w:val="24"/>
          <w:szCs w:val="23"/>
        </w:rPr>
        <w:t xml:space="preserve">：  </w:t>
      </w:r>
      <w:r>
        <w:rPr>
          <w:rFonts w:hint="eastAsia" w:ascii="仿宋_GB2312" w:hAnsi="宋体" w:eastAsia="仿宋_GB2312"/>
          <w:snapToGrid w:val="0"/>
          <w:color w:val="000000"/>
          <w:kern w:val="0"/>
          <w:sz w:val="24"/>
          <w:szCs w:val="23"/>
        </w:rPr>
        <w:t>本承诺书是华东理工大学“大学生创新创业训练计划”项目管理和经费划拨的依据。</w:t>
      </w:r>
    </w:p>
    <w:sectPr>
      <w:headerReference r:id="rId3" w:type="default"/>
      <w:footerReference r:id="rId4" w:type="default"/>
      <w:footerReference r:id="rId5" w:type="even"/>
      <w:pgSz w:w="11906" w:h="16838"/>
      <w:pgMar w:top="1134" w:right="1418" w:bottom="1134" w:left="1418"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E10002FF" w:usb1="4000ACFF" w:usb2="00000009" w:usb3="00000000" w:csb0="2000019F" w:csb1="00000000"/>
  </w:font>
  <w:font w:name="华文楷体">
    <w:panose1 w:val="02010600040101010101"/>
    <w:charset w:val="86"/>
    <w:family w:val="auto"/>
    <w:pitch w:val="default"/>
    <w:sig w:usb0="80000287" w:usb1="280F3C52" w:usb2="00000016" w:usb3="00000000" w:csb0="0004001F" w:csb1="00000000"/>
  </w:font>
  <w:font w:name="仿宋_GB2312">
    <w:altName w:val="方正仿宋_GBK"/>
    <w:panose1 w:val="00000000000000000000"/>
    <w:charset w:val="86"/>
    <w:family w:val="roma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粗宋简体">
    <w:altName w:val="宋体"/>
    <w:panose1 w:val="00000000000000000000"/>
    <w:charset w:val="86"/>
    <w:family w:val="script"/>
    <w:pitch w:val="default"/>
    <w:sig w:usb0="00000000" w:usb1="00000000" w:usb2="00000010" w:usb3="00000000" w:csb0="00040000" w:csb1="00000000"/>
  </w:font>
  <w:font w:name="楷体_GB2312">
    <w:altName w:val="汉仪楷体简"/>
    <w:panose1 w:val="00000000000000000000"/>
    <w:charset w:val="86"/>
    <w:family w:val="modern"/>
    <w:pitch w:val="default"/>
    <w:sig w:usb0="00000000" w:usb1="00000000" w:usb2="00000010" w:usb3="00000000" w:csb0="00040000" w:csb1="00000000"/>
  </w:font>
  <w:font w:name="GulimChe">
    <w:altName w:val="Gulim"/>
    <w:panose1 w:val="00000000000000000000"/>
    <w:charset w:val="81"/>
    <w:family w:val="modern"/>
    <w:pitch w:val="default"/>
    <w:sig w:usb0="00000000" w:usb1="00000000" w:usb2="00000030" w:usb3="00000000" w:csb0="0008009F"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 w:name="华文隶书">
    <w:panose1 w:val="02010800040101010101"/>
    <w:charset w:val="86"/>
    <w:family w:val="auto"/>
    <w:pitch w:val="default"/>
    <w:sig w:usb0="00000001" w:usb1="080F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汉仪楷体简">
    <w:panose1 w:val="02010600000101010101"/>
    <w:charset w:val="86"/>
    <w:family w:val="auto"/>
    <w:pitch w:val="default"/>
    <w:sig w:usb0="00000001" w:usb1="080E0800" w:usb2="00000002" w:usb3="00000000" w:csb0="00040000" w:csb1="00000000"/>
  </w:font>
  <w:font w:name="Gulim">
    <w:panose1 w:val="020B0600000101010101"/>
    <w:charset w:val="81"/>
    <w:family w:val="auto"/>
    <w:pitch w:val="default"/>
    <w:sig w:usb0="B00002AF" w:usb1="69D77CFB" w:usb2="00000030" w:usb3="00000000" w:csb0="4008009F" w:csb1="DFD7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B2917">
    <w:pPr>
      <w:pStyle w:val="10"/>
      <w:framePr w:wrap="around" w:vAnchor="text" w:hAnchor="margin" w:xAlign="center" w:y="1"/>
      <w:rPr>
        <w:rStyle w:val="18"/>
      </w:rPr>
    </w:pPr>
    <w:r>
      <w:fldChar w:fldCharType="begin"/>
    </w:r>
    <w:r>
      <w:rPr>
        <w:rStyle w:val="18"/>
      </w:rPr>
      <w:instrText xml:space="preserve">PAGE  </w:instrText>
    </w:r>
    <w:r>
      <w:fldChar w:fldCharType="separate"/>
    </w:r>
    <w:r>
      <w:rPr>
        <w:rStyle w:val="18"/>
      </w:rPr>
      <w:t>- 8 -</w:t>
    </w:r>
    <w:r>
      <w:fldChar w:fldCharType="end"/>
    </w:r>
  </w:p>
  <w:p w14:paraId="41F43850">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63B61">
    <w:pPr>
      <w:pStyle w:val="10"/>
      <w:framePr w:wrap="around" w:vAnchor="text" w:hAnchor="margin" w:xAlign="center" w:y="1"/>
      <w:rPr>
        <w:rStyle w:val="18"/>
      </w:rPr>
    </w:pPr>
    <w:r>
      <w:fldChar w:fldCharType="begin"/>
    </w:r>
    <w:r>
      <w:rPr>
        <w:rStyle w:val="18"/>
      </w:rPr>
      <w:instrText xml:space="preserve">PAGE  </w:instrText>
    </w:r>
    <w:r>
      <w:fldChar w:fldCharType="end"/>
    </w:r>
  </w:p>
  <w:p w14:paraId="0760AF77">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1C22E">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0000002"/>
    <w:multiLevelType w:val="multilevel"/>
    <w:tmpl w:val="0000000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0000003"/>
    <w:multiLevelType w:val="multilevel"/>
    <w:tmpl w:val="0000000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0000004"/>
    <w:multiLevelType w:val="multilevel"/>
    <w:tmpl w:val="0000000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0000005"/>
    <w:multiLevelType w:val="multilevel"/>
    <w:tmpl w:val="0000000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0000006"/>
    <w:multiLevelType w:val="multilevel"/>
    <w:tmpl w:val="0000000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0053208E"/>
    <w:multiLevelType w:val="multilevel"/>
    <w:tmpl w:val="0053208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4"/>
  </w:num>
  <w:num w:numId="2">
    <w:abstractNumId w:val="5"/>
  </w:num>
  <w:num w:numId="3">
    <w:abstractNumId w:val="6"/>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97"/>
    <w:rsid w:val="000E3397"/>
    <w:rsid w:val="008345AA"/>
    <w:rsid w:val="00AB043A"/>
    <w:rsid w:val="00D413AA"/>
    <w:rsid w:val="14EB0E6B"/>
    <w:rsid w:val="17936739"/>
    <w:rsid w:val="1991677C"/>
    <w:rsid w:val="2BE777C1"/>
    <w:rsid w:val="7BF3C6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0"/>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8"/>
    <w:qFormat/>
    <w:uiPriority w:val="0"/>
    <w:pPr>
      <w:keepNext/>
      <w:keepLines/>
      <w:spacing w:before="260" w:after="260" w:line="416" w:lineRule="auto"/>
      <w:outlineLvl w:val="2"/>
    </w:pPr>
    <w:rPr>
      <w:b/>
      <w:bCs/>
      <w:sz w:val="32"/>
      <w:szCs w:val="32"/>
    </w:rPr>
  </w:style>
  <w:style w:type="character" w:default="1" w:styleId="16">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1"/>
    <w:qFormat/>
    <w:uiPriority w:val="0"/>
    <w:rPr>
      <w:rFonts w:ascii="宋体"/>
      <w:sz w:val="18"/>
      <w:szCs w:val="18"/>
    </w:rPr>
  </w:style>
  <w:style w:type="paragraph" w:styleId="6">
    <w:name w:val="Body Text Indent"/>
    <w:basedOn w:val="1"/>
    <w:qFormat/>
    <w:uiPriority w:val="0"/>
    <w:pPr>
      <w:ind w:firstLine="412" w:firstLineChars="196"/>
    </w:pPr>
    <w:rPr>
      <w:bCs/>
    </w:rPr>
  </w:style>
  <w:style w:type="paragraph" w:styleId="7">
    <w:name w:val="Date"/>
    <w:basedOn w:val="1"/>
    <w:next w:val="1"/>
    <w:qFormat/>
    <w:uiPriority w:val="0"/>
    <w:pPr>
      <w:ind w:left="100" w:leftChars="2500"/>
    </w:pPr>
    <w:rPr>
      <w:rFonts w:eastAsia="华文楷体"/>
      <w:sz w:val="28"/>
    </w:rPr>
  </w:style>
  <w:style w:type="paragraph" w:styleId="8">
    <w:name w:val="Body Text Indent 2"/>
    <w:basedOn w:val="1"/>
    <w:qFormat/>
    <w:uiPriority w:val="0"/>
    <w:pPr>
      <w:ind w:left="8" w:leftChars="4" w:firstLine="420" w:firstLineChars="200"/>
    </w:pPr>
    <w:rPr>
      <w:rFonts w:ascii="宋体" w:hAnsi="宋体"/>
      <w:szCs w:val="21"/>
    </w:rPr>
  </w:style>
  <w:style w:type="paragraph" w:styleId="9">
    <w:name w:val="Balloon Text"/>
    <w:basedOn w:val="1"/>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Indent 3"/>
    <w:basedOn w:val="1"/>
    <w:qFormat/>
    <w:uiPriority w:val="0"/>
    <w:pPr>
      <w:ind w:left="718" w:leftChars="342"/>
    </w:p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Strong"/>
    <w:qFormat/>
    <w:uiPriority w:val="0"/>
    <w:rPr>
      <w:b/>
      <w:bCs/>
    </w:rPr>
  </w:style>
  <w:style w:type="character" w:styleId="18">
    <w:name w:val="page number"/>
    <w:qFormat/>
    <w:uiPriority w:val="0"/>
  </w:style>
  <w:style w:type="character" w:styleId="19">
    <w:name w:val="Hyperlink"/>
    <w:qFormat/>
    <w:uiPriority w:val="0"/>
    <w:rPr>
      <w:color w:val="333333"/>
      <w:u w:val="none"/>
    </w:rPr>
  </w:style>
  <w:style w:type="character" w:customStyle="1" w:styleId="20">
    <w:name w:val="标题 2 字符"/>
    <w:link w:val="3"/>
    <w:qFormat/>
    <w:uiPriority w:val="0"/>
    <w:rPr>
      <w:rFonts w:ascii="Arial" w:hAnsi="Arial" w:eastAsia="黑体"/>
      <w:b/>
      <w:bCs/>
      <w:kern w:val="2"/>
      <w:sz w:val="32"/>
      <w:szCs w:val="32"/>
    </w:rPr>
  </w:style>
  <w:style w:type="character" w:customStyle="1" w:styleId="21">
    <w:name w:val="文档结构图 字符"/>
    <w:link w:val="5"/>
    <w:qFormat/>
    <w:uiPriority w:val="0"/>
    <w:rPr>
      <w:rFonts w:ascii="宋体"/>
      <w:kern w:val="2"/>
      <w:sz w:val="18"/>
      <w:szCs w:val="18"/>
    </w:rPr>
  </w:style>
  <w:style w:type="character" w:customStyle="1" w:styleId="22">
    <w:name w:val="Char Char1"/>
    <w:qFormat/>
    <w:uiPriority w:val="0"/>
    <w:rPr>
      <w:kern w:val="2"/>
      <w:sz w:val="18"/>
      <w:szCs w:val="18"/>
    </w:rPr>
  </w:style>
  <w:style w:type="character" w:customStyle="1" w:styleId="23">
    <w:name w:val="样式 正文缩进 + 仿宋_GB2312 Char"/>
    <w:qFormat/>
    <w:uiPriority w:val="0"/>
    <w:rPr>
      <w:rFonts w:ascii="仿宋_GB2312" w:hAnsi="仿宋_GB2312" w:eastAsia="仿宋_GB2312"/>
      <w:kern w:val="2"/>
      <w:sz w:val="28"/>
      <w:szCs w:val="24"/>
      <w:lang w:val="en-US" w:eastAsia="zh-CN" w:bidi="ar-SA"/>
    </w:rPr>
  </w:style>
  <w:style w:type="character" w:customStyle="1" w:styleId="24">
    <w:name w:val="Char Char"/>
    <w:qFormat/>
    <w:uiPriority w:val="0"/>
    <w:rPr>
      <w:kern w:val="2"/>
      <w:sz w:val="18"/>
      <w:szCs w:val="18"/>
    </w:rPr>
  </w:style>
  <w:style w:type="character" w:customStyle="1" w:styleId="25">
    <w:name w:val="style31"/>
    <w:qFormat/>
    <w:uiPriority w:val="0"/>
    <w:rPr>
      <w:color w:val="000000"/>
    </w:rPr>
  </w:style>
  <w:style w:type="paragraph" w:customStyle="1" w:styleId="26">
    <w:name w:val="样式 样式 表格标题 + Times New Roman 行距: 多倍行距 1.4 字行 + 段前: 0.5 行 段后: 0...."/>
    <w:basedOn w:val="1"/>
    <w:qFormat/>
    <w:uiPriority w:val="0"/>
    <w:pPr>
      <w:spacing w:before="120" w:beforeLines="50" w:after="120" w:afterLines="50"/>
      <w:jc w:val="center"/>
    </w:pPr>
    <w:rPr>
      <w:rFonts w:eastAsia="黑体" w:cs="宋体"/>
      <w:sz w:val="24"/>
      <w:szCs w:val="20"/>
    </w:rPr>
  </w:style>
  <w:style w:type="character" w:customStyle="1" w:styleId="27">
    <w:name w:val="标题 1 字符"/>
    <w:basedOn w:val="16"/>
    <w:link w:val="2"/>
    <w:qFormat/>
    <w:uiPriority w:val="0"/>
    <w:rPr>
      <w:b/>
      <w:bCs/>
      <w:kern w:val="44"/>
      <w:sz w:val="44"/>
      <w:szCs w:val="44"/>
    </w:rPr>
  </w:style>
  <w:style w:type="character" w:customStyle="1" w:styleId="28">
    <w:name w:val="标题 3 字符"/>
    <w:basedOn w:val="16"/>
    <w:link w:val="4"/>
    <w:qFormat/>
    <w:uiPriority w:val="0"/>
    <w:rPr>
      <w:b/>
      <w:bCs/>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番茄花园</Company>
  <Pages>17</Pages>
  <Words>427</Words>
  <Characters>435</Characters>
  <Lines>356</Lines>
  <Paragraphs>249</Paragraphs>
  <TotalTime>3</TotalTime>
  <ScaleCrop>false</ScaleCrop>
  <LinksUpToDate>false</LinksUpToDate>
  <CharactersWithSpaces>455</CharactersWithSpaces>
  <Application>WPS Office_12.1.22553.22553_F1E327BC-269C-435d-A152-05C5408002CA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2025-11-13T15:32:00Z</dcterms:created>
  <dc:creator>AndyWang</dc:creator>
  <cp:lastModifiedBy>Jocelyn Z</cp:lastModifiedBy>
  <cp:lastPrinted>2009-10-10T14:31:00Z</cp:lastPrinted>
  <dcterms:modified xsi:type="dcterms:W3CDTF">2025-11-20T14:53:15Z</dcterms:modified>
  <dc:title>人才培养模式创新实验区</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2052-12.1.22553.22553</vt:lpwstr>
  </property>
  <property fmtid="{D5CDD505-2E9C-101B-9397-08002B2CF9AE}" pid="3" name="ICV">
    <vt:lpwstr>0BA1DF790D7EAA78DBBA1E69F6D9E2B4_43</vt:lpwstr>
  </property>
  <property fmtid="{D5CDD505-2E9C-101B-9397-08002B2CF9AE}" pid="4" name="KSOTemplateDocerSaveRecord">
    <vt:lpwstr>eyJoZGlkIjoiMWFiZGY1MjdhMDgxODI4NDUxNTMyZTlhOGQ0MDc2NzYiLCJ1c2VySWQiOiI1MTQ0NjgyMzQifQ==</vt:lpwstr>
  </property>
</Properties>
</file>