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vertAnchor="text" w:horzAnchor="margin" w:tblpXSpec="right" w:tblpY="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1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16" w:type="dxa"/>
          </w:tcPr>
          <w:p>
            <w:pPr>
              <w:rPr>
                <w:rFonts w:hint="eastAsia"/>
              </w:rPr>
            </w:pPr>
            <w:bookmarkStart w:id="0" w:name="OLE_LINK10"/>
            <w:bookmarkStart w:id="1" w:name="OLE_LINK9"/>
            <w:r>
              <w:rPr>
                <w:rFonts w:hint="eastAsia"/>
              </w:rPr>
              <w:t>项目编号</w:t>
            </w:r>
          </w:p>
        </w:tc>
        <w:tc>
          <w:tcPr>
            <w:tcW w:w="1884" w:type="dxa"/>
          </w:tcPr>
          <w:p>
            <w:pPr>
              <w:rPr>
                <w:rFonts w:hint="eastAsia" w:ascii="宋体" w:hAnsi="宋体"/>
                <w:sz w:val="28"/>
              </w:rPr>
            </w:pPr>
          </w:p>
        </w:tc>
      </w:tr>
    </w:tbl>
    <w:p>
      <w:pPr>
        <w:pStyle w:val="11"/>
        <w:spacing w:before="0" w:beforeAutospacing="0" w:after="0" w:afterAutospacing="0"/>
        <w:rPr>
          <w:rFonts w:hint="eastAsia" w:ascii="仿宋_GB2312" w:eastAsia="仿宋_GB2312"/>
          <w:sz w:val="32"/>
          <w:szCs w:val="32"/>
        </w:rPr>
      </w:pPr>
    </w:p>
    <w:p>
      <w:pPr>
        <w:spacing w:after="624" w:afterLines="200"/>
        <w:jc w:val="left"/>
        <w:rPr>
          <w:rFonts w:hint="eastAsia" w:ascii="华文中宋" w:hAnsi="华文中宋" w:eastAsia="华文中宋"/>
          <w:b/>
          <w:sz w:val="48"/>
          <w:szCs w:val="48"/>
        </w:rPr>
      </w:pPr>
    </w:p>
    <w:p>
      <w:pPr>
        <w:jc w:val="center"/>
        <w:rPr>
          <w:rFonts w:hint="eastAsia" w:ascii="方正粗宋简体" w:hAnsi="华文中宋" w:eastAsia="方正粗宋简体"/>
          <w:sz w:val="64"/>
          <w:szCs w:val="64"/>
        </w:rPr>
      </w:pPr>
      <w:r>
        <w:rPr>
          <w:rFonts w:hint="eastAsia" w:ascii="方正粗宋简体" w:hAnsi="华文中宋" w:eastAsia="方正粗宋简体"/>
          <w:sz w:val="64"/>
          <w:szCs w:val="64"/>
        </w:rPr>
        <w:t>华 东 理 工 大 学</w:t>
      </w:r>
    </w:p>
    <w:p>
      <w:pPr>
        <w:spacing w:before="468" w:beforeLines="150"/>
        <w:jc w:val="center"/>
        <w:rPr>
          <w:rFonts w:hint="eastAsia" w:ascii="华文楷体" w:hAnsi="华文楷体" w:eastAsia="华文楷体"/>
          <w:b/>
          <w:sz w:val="60"/>
          <w:szCs w:val="60"/>
        </w:rPr>
      </w:pPr>
      <w:r>
        <w:rPr>
          <w:rFonts w:hint="eastAsia" w:ascii="华文楷体" w:hAnsi="华文楷体" w:eastAsia="华文楷体"/>
          <w:b/>
          <w:sz w:val="56"/>
          <w:szCs w:val="48"/>
        </w:rPr>
        <w:t>大学生创新创业训练计划创新训练类</w:t>
      </w:r>
      <w:r>
        <w:rPr>
          <w:rFonts w:hint="eastAsia" w:ascii="华文楷体" w:hAnsi="华文楷体" w:eastAsia="华文楷体"/>
          <w:b/>
          <w:sz w:val="56"/>
          <w:szCs w:val="56"/>
        </w:rPr>
        <w:t>项目申报书</w:t>
      </w:r>
    </w:p>
    <w:p>
      <w:pPr>
        <w:jc w:val="center"/>
        <w:rPr>
          <w:rFonts w:hint="eastAsia" w:ascii="华文中宋" w:hAnsi="华文中宋" w:eastAsia="华文中宋"/>
          <w:b/>
          <w:sz w:val="72"/>
          <w:szCs w:val="72"/>
        </w:rPr>
      </w:pPr>
    </w:p>
    <w:p>
      <w:pPr>
        <w:ind w:firstLine="960" w:firstLineChars="300"/>
        <w:rPr>
          <w:rFonts w:hint="eastAsia" w:ascii="黑体" w:eastAsia="黑体"/>
          <w:sz w:val="32"/>
          <w:szCs w:val="32"/>
        </w:rPr>
      </w:pPr>
    </w:p>
    <w:tbl>
      <w:tblPr>
        <w:tblStyle w:val="12"/>
        <w:tblW w:w="0" w:type="auto"/>
        <w:tblInd w:w="534" w:type="dxa"/>
        <w:tblLayout w:type="autofit"/>
        <w:tblCellMar>
          <w:top w:w="0" w:type="dxa"/>
          <w:left w:w="108" w:type="dxa"/>
          <w:bottom w:w="0" w:type="dxa"/>
          <w:right w:w="108" w:type="dxa"/>
        </w:tblCellMar>
      </w:tblPr>
      <w:tblGrid>
        <w:gridCol w:w="2835"/>
        <w:gridCol w:w="5917"/>
      </w:tblGrid>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项目名称</w:t>
            </w:r>
          </w:p>
        </w:tc>
        <w:tc>
          <w:tcPr>
            <w:tcW w:w="5917" w:type="dxa"/>
            <w:tcBorders>
              <w:bottom w:val="single" w:color="auto" w:sz="4" w:space="0"/>
            </w:tcBorders>
            <w:vAlign w:val="center"/>
          </w:tcPr>
          <w:p>
            <w:pPr>
              <w:pStyle w:val="4"/>
              <w:spacing w:line="600" w:lineRule="exact"/>
              <w:ind w:firstLine="0" w:firstLineChars="0"/>
              <w:jc w:val="center"/>
              <w:rPr>
                <w:rFonts w:hint="eastAsia" w:ascii="仿宋_GB2312" w:eastAsia="仿宋_GB2312"/>
                <w:bCs w:val="0"/>
                <w:color w:val="000000"/>
                <w:sz w:val="32"/>
                <w:szCs w:val="32"/>
              </w:rPr>
            </w:pPr>
            <w:r>
              <w:rPr>
                <w:rFonts w:hint="eastAsia" w:ascii="仿宋_GB2312" w:eastAsia="仿宋_GB2312"/>
                <w:bCs w:val="0"/>
                <w:color w:val="000000"/>
                <w:szCs w:val="21"/>
              </w:rPr>
              <w:t>钝化剂分子功能设计及其调控钙钛矿量子点成核与结晶动力学</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项目所属一级学科</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hint="eastAsia" w:ascii="仿宋_GB2312" w:eastAsia="仿宋_GB2312"/>
                <w:bCs w:val="0"/>
                <w:color w:val="000000"/>
                <w:sz w:val="32"/>
                <w:szCs w:val="32"/>
              </w:rPr>
            </w:pPr>
            <w:r>
              <w:rPr>
                <w:rFonts w:hint="eastAsia" w:ascii="仿宋_GB2312" w:eastAsia="仿宋_GB2312"/>
                <w:bCs w:val="0"/>
                <w:color w:val="000000"/>
                <w:sz w:val="32"/>
                <w:szCs w:val="32"/>
              </w:rPr>
              <w:t>工学</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项目负责人</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焦逸涵</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项目组成员</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张禹涵 曲健硕 张宇轩</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指导教师</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高艺霞</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所在学院</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hint="eastAsia" w:ascii="仿宋_GB2312" w:eastAsia="仿宋_GB2312"/>
                <w:bCs w:val="0"/>
                <w:color w:val="000000"/>
                <w:sz w:val="32"/>
                <w:szCs w:val="32"/>
              </w:rPr>
            </w:pPr>
            <w:r>
              <w:rPr>
                <w:rFonts w:hint="eastAsia" w:ascii="仿宋_GB2312" w:eastAsia="仿宋_GB2312"/>
                <w:bCs w:val="0"/>
                <w:color w:val="000000"/>
                <w:sz w:val="32"/>
                <w:szCs w:val="32"/>
              </w:rPr>
              <w:t>化工学院</w:t>
            </w:r>
          </w:p>
        </w:tc>
      </w:tr>
      <w:tr>
        <w:tblPrEx>
          <w:tblCellMar>
            <w:top w:w="0" w:type="dxa"/>
            <w:left w:w="108" w:type="dxa"/>
            <w:bottom w:w="0" w:type="dxa"/>
            <w:right w:w="108" w:type="dxa"/>
          </w:tblCellMar>
        </w:tblPrEx>
        <w:trPr>
          <w:trHeight w:val="737" w:hRule="exact"/>
        </w:trPr>
        <w:tc>
          <w:tcPr>
            <w:tcW w:w="2835" w:type="dxa"/>
            <w:vAlign w:val="center"/>
          </w:tcPr>
          <w:p>
            <w:pPr>
              <w:jc w:val="left"/>
              <w:rPr>
                <w:rFonts w:hint="eastAsia" w:ascii="黑体" w:eastAsia="黑体"/>
                <w:sz w:val="32"/>
                <w:szCs w:val="32"/>
              </w:rPr>
            </w:pPr>
            <w:r>
              <w:rPr>
                <w:rFonts w:hint="eastAsia" w:ascii="黑体" w:eastAsia="黑体"/>
                <w:sz w:val="32"/>
                <w:szCs w:val="32"/>
              </w:rPr>
              <w:t>填报日期</w:t>
            </w:r>
          </w:p>
        </w:tc>
        <w:tc>
          <w:tcPr>
            <w:tcW w:w="5917" w:type="dxa"/>
            <w:tcBorders>
              <w:top w:val="single" w:color="auto" w:sz="4" w:space="0"/>
              <w:bottom w:val="single" w:color="auto" w:sz="4" w:space="0"/>
            </w:tcBorders>
            <w:vAlign w:val="center"/>
          </w:tcPr>
          <w:p>
            <w:pPr>
              <w:pStyle w:val="4"/>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2024.11.06</w:t>
            </w:r>
          </w:p>
        </w:tc>
      </w:tr>
    </w:tbl>
    <w:p>
      <w:pPr>
        <w:ind w:firstLine="960" w:firstLineChars="300"/>
        <w:rPr>
          <w:rFonts w:hint="eastAsia" w:ascii="黑体" w:eastAsia="黑体"/>
          <w:sz w:val="32"/>
          <w:szCs w:val="32"/>
        </w:rPr>
      </w:pPr>
    </w:p>
    <w:p>
      <w:pPr>
        <w:jc w:val="center"/>
        <w:rPr>
          <w:rFonts w:hint="eastAsia" w:ascii="宋体" w:hAnsi="宋体" w:eastAsia="楷体_GB2312"/>
          <w:b/>
          <w:sz w:val="32"/>
        </w:rPr>
      </w:pPr>
      <w:r>
        <w:rPr>
          <w:rFonts w:hint="eastAsia" w:ascii="宋体" w:hAnsi="宋体" w:eastAsia="楷体_GB2312"/>
          <w:b/>
          <w:sz w:val="32"/>
        </w:rPr>
        <w:t>华东理工大学创新创业教育中心制表</w:t>
      </w:r>
    </w:p>
    <w:p>
      <w:pPr>
        <w:spacing w:line="500" w:lineRule="exact"/>
        <w:jc w:val="center"/>
        <w:rPr>
          <w:rFonts w:hint="eastAsia" w:eastAsia="黑体"/>
          <w:spacing w:val="32"/>
          <w:sz w:val="36"/>
        </w:rPr>
      </w:pPr>
    </w:p>
    <w:p>
      <w:pPr>
        <w:spacing w:line="500" w:lineRule="exact"/>
        <w:jc w:val="center"/>
        <w:rPr>
          <w:rFonts w:hint="eastAsia" w:eastAsia="黑体"/>
          <w:spacing w:val="32"/>
          <w:sz w:val="36"/>
        </w:rPr>
      </w:pPr>
      <w:r>
        <w:rPr>
          <w:rFonts w:hint="eastAsia" w:eastAsia="黑体"/>
          <w:spacing w:val="32"/>
          <w:sz w:val="36"/>
        </w:rPr>
        <w:t>填表说明</w:t>
      </w:r>
    </w:p>
    <w:p>
      <w:pPr>
        <w:spacing w:line="500" w:lineRule="exact"/>
        <w:jc w:val="center"/>
        <w:rPr>
          <w:rFonts w:hint="eastAsia" w:eastAsia="黑体"/>
          <w:sz w:val="36"/>
        </w:rPr>
      </w:pPr>
    </w:p>
    <w:p>
      <w:pPr>
        <w:spacing w:line="500" w:lineRule="exact"/>
        <w:jc w:val="center"/>
        <w:rPr>
          <w:rFonts w:hint="eastAsia" w:eastAsia="黑体"/>
          <w:sz w:val="36"/>
        </w:rPr>
      </w:pPr>
    </w:p>
    <w:p>
      <w:pPr>
        <w:spacing w:line="360" w:lineRule="auto"/>
        <w:ind w:firstLine="537" w:firstLineChars="168"/>
        <w:rPr>
          <w:rFonts w:hint="eastAsia" w:ascii="仿宋_GB2312" w:eastAsia="仿宋_GB2312"/>
          <w:sz w:val="28"/>
        </w:rPr>
      </w:pPr>
      <w:r>
        <w:rPr>
          <w:rFonts w:hint="eastAsia" w:ascii="仿宋_GB2312" w:eastAsia="仿宋_GB2312"/>
          <w:sz w:val="32"/>
          <w:szCs w:val="32"/>
        </w:rPr>
        <w:t>一、</w:t>
      </w:r>
      <w:r>
        <w:rPr>
          <w:rFonts w:hint="eastAsia" w:ascii="仿宋_GB2312" w:eastAsia="仿宋_GB2312"/>
          <w:sz w:val="28"/>
        </w:rPr>
        <w:t>本表要求按顺序逐项填写，项目要实事求是，讲究诚信，不能有雷同，表达要明确、严谨。空缺项要填“无”。一律用A4纸打印，于左侧装订成册。</w:t>
      </w:r>
    </w:p>
    <w:p>
      <w:pPr>
        <w:spacing w:line="360" w:lineRule="auto"/>
        <w:ind w:firstLine="470" w:firstLineChars="168"/>
        <w:rPr>
          <w:rFonts w:hint="eastAsia" w:ascii="仿宋_GB2312" w:eastAsia="仿宋_GB2312"/>
          <w:sz w:val="28"/>
        </w:rPr>
      </w:pPr>
      <w:r>
        <w:rPr>
          <w:rFonts w:hint="eastAsia" w:ascii="仿宋_GB2312" w:eastAsia="仿宋_GB2312"/>
          <w:sz w:val="28"/>
        </w:rPr>
        <w:t>二、申请参加本项目团队人数不得超过4人（1人为立项负责人，参与合作研究者1-3人）。</w:t>
      </w:r>
    </w:p>
    <w:p>
      <w:pPr>
        <w:spacing w:line="360" w:lineRule="auto"/>
        <w:ind w:firstLine="470" w:firstLineChars="168"/>
        <w:rPr>
          <w:rFonts w:hint="eastAsia" w:ascii="仿宋_GB2312" w:eastAsia="仿宋_GB2312"/>
          <w:sz w:val="28"/>
        </w:rPr>
      </w:pPr>
      <w:r>
        <w:rPr>
          <w:rFonts w:hint="eastAsia" w:ascii="仿宋_GB2312" w:eastAsia="仿宋_GB2312"/>
          <w:sz w:val="28"/>
        </w:rPr>
        <w:t>三、申请参加本项目的个人或团队必须聘请教师作为项目指导教师，并请指导教师在申请书上签名。</w:t>
      </w:r>
    </w:p>
    <w:p>
      <w:pPr>
        <w:spacing w:line="360" w:lineRule="auto"/>
        <w:ind w:firstLine="470" w:firstLineChars="168"/>
        <w:rPr>
          <w:rFonts w:ascii="仿宋_GB2312" w:eastAsia="仿宋_GB2312"/>
          <w:sz w:val="28"/>
        </w:rPr>
      </w:pPr>
      <w:r>
        <w:rPr>
          <w:rFonts w:hint="eastAsia" w:ascii="仿宋_GB2312" w:eastAsia="仿宋_GB2312"/>
          <w:sz w:val="28"/>
        </w:rPr>
        <w:t>四、项目执行周期一般为1年半，允许项目开展1年后申请提前结题。</w:t>
      </w:r>
    </w:p>
    <w:p>
      <w:pPr>
        <w:spacing w:line="360" w:lineRule="auto"/>
        <w:ind w:firstLine="470" w:firstLineChars="168"/>
        <w:rPr>
          <w:rFonts w:hint="eastAsia" w:ascii="仿宋_GB2312" w:eastAsia="仿宋_GB2312"/>
          <w:sz w:val="28"/>
        </w:rPr>
      </w:pPr>
      <w:r>
        <w:rPr>
          <w:rFonts w:hint="eastAsia" w:ascii="仿宋_GB2312" w:eastAsia="仿宋_GB2312"/>
          <w:sz w:val="28"/>
        </w:rPr>
        <w:t>五、本表由指导教师所在院系初审，签署意见后，由学院统一保存。</w:t>
      </w:r>
    </w:p>
    <w:p>
      <w:pPr>
        <w:ind w:firstLine="506" w:firstLineChars="168"/>
        <w:jc w:val="left"/>
        <w:rPr>
          <w:rFonts w:hint="eastAsia" w:ascii="仿宋_GB2312" w:eastAsia="仿宋_GB2312"/>
          <w:b/>
          <w:color w:val="000000"/>
          <w:sz w:val="30"/>
          <w:szCs w:val="30"/>
        </w:rPr>
      </w:pPr>
    </w:p>
    <w:p>
      <w:pPr>
        <w:ind w:firstLine="3162" w:firstLineChars="1050"/>
        <w:rPr>
          <w:rFonts w:hint="eastAsia" w:ascii="仿宋_GB2312" w:eastAsia="仿宋_GB2312"/>
          <w:b/>
          <w:color w:val="000000"/>
          <w:sz w:val="30"/>
          <w:szCs w:val="30"/>
        </w:rPr>
      </w:pPr>
    </w:p>
    <w:p>
      <w:pPr>
        <w:ind w:firstLine="3162" w:firstLineChars="1050"/>
        <w:rPr>
          <w:rFonts w:hint="eastAsia" w:ascii="仿宋_GB2312" w:eastAsia="仿宋_GB2312"/>
          <w:b/>
          <w:color w:val="000000"/>
          <w:sz w:val="30"/>
          <w:szCs w:val="30"/>
        </w:rPr>
      </w:pPr>
    </w:p>
    <w:p>
      <w:pPr>
        <w:spacing w:before="312" w:beforeLines="100" w:after="312" w:afterLines="100"/>
        <w:rPr>
          <w:b/>
          <w:sz w:val="32"/>
          <w:szCs w:val="32"/>
        </w:rPr>
      </w:pPr>
    </w:p>
    <w:p>
      <w:pPr>
        <w:spacing w:before="312" w:beforeLines="100" w:after="156" w:afterLines="50"/>
        <w:rPr>
          <w:rFonts w:hint="eastAsia"/>
          <w:sz w:val="32"/>
          <w:szCs w:val="32"/>
        </w:rPr>
      </w:pPr>
      <w:r>
        <w:rPr>
          <w:b/>
          <w:sz w:val="32"/>
          <w:szCs w:val="32"/>
        </w:rPr>
        <w:br w:type="page"/>
      </w:r>
      <w:r>
        <w:rPr>
          <w:rFonts w:hint="eastAsia"/>
          <w:b/>
          <w:sz w:val="32"/>
          <w:szCs w:val="32"/>
        </w:rPr>
        <w:t>一、项目基本情况</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708"/>
        <w:gridCol w:w="400"/>
        <w:gridCol w:w="264"/>
        <w:gridCol w:w="850"/>
        <w:gridCol w:w="1134"/>
        <w:gridCol w:w="567"/>
        <w:gridCol w:w="851"/>
        <w:gridCol w:w="709"/>
        <w:gridCol w:w="283"/>
        <w:gridCol w:w="1276"/>
        <w:gridCol w:w="19"/>
        <w:gridCol w:w="2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1189" w:type="dxa"/>
            <w:gridSpan w:val="2"/>
            <w:vAlign w:val="bottom"/>
          </w:tcPr>
          <w:p>
            <w:pPr>
              <w:spacing w:line="480" w:lineRule="auto"/>
              <w:jc w:val="center"/>
              <w:rPr>
                <w:rFonts w:hint="eastAsia"/>
                <w:sz w:val="22"/>
              </w:rPr>
            </w:pPr>
            <w:r>
              <w:rPr>
                <w:rFonts w:hint="eastAsia"/>
                <w:sz w:val="22"/>
              </w:rPr>
              <w:t>项目名称</w:t>
            </w:r>
          </w:p>
        </w:tc>
        <w:tc>
          <w:tcPr>
            <w:tcW w:w="8750" w:type="dxa"/>
            <w:gridSpan w:val="11"/>
            <w:vAlign w:val="center"/>
          </w:tcPr>
          <w:p>
            <w:pPr>
              <w:jc w:val="center"/>
              <w:rPr>
                <w:rFonts w:ascii="仿宋_GB2312" w:eastAsia="仿宋_GB2312"/>
                <w:sz w:val="22"/>
                <w:szCs w:val="22"/>
              </w:rPr>
            </w:pPr>
            <w:bookmarkStart w:id="2" w:name="OLE_LINK2"/>
            <w:r>
              <w:rPr>
                <w:rFonts w:hint="eastAsia" w:ascii="仿宋_GB2312" w:eastAsia="仿宋_GB2312"/>
                <w:sz w:val="22"/>
                <w:szCs w:val="22"/>
              </w:rPr>
              <w:t>钝化剂分子功能设计及其调控钙钛矿量子点成核与结晶动力学</w:t>
            </w:r>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7523" w:type="dxa"/>
            <w:gridSpan w:val="11"/>
            <w:vAlign w:val="center"/>
          </w:tcPr>
          <w:p>
            <w:pPr>
              <w:jc w:val="left"/>
              <w:rPr>
                <w:rFonts w:hint="eastAsia"/>
                <w:sz w:val="22"/>
              </w:rPr>
            </w:pPr>
            <w:r>
              <w:rPr>
                <w:rFonts w:hint="eastAsia"/>
                <w:sz w:val="22"/>
              </w:rPr>
              <w:t>项目所属一级学科（可以是一种或多种跨学科）</w:t>
            </w:r>
          </w:p>
        </w:tc>
        <w:tc>
          <w:tcPr>
            <w:tcW w:w="2416" w:type="dxa"/>
            <w:gridSpan w:val="2"/>
            <w:vAlign w:val="center"/>
          </w:tcPr>
          <w:p>
            <w:pPr>
              <w:rPr>
                <w:rFonts w:hint="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89" w:type="dxa"/>
            <w:gridSpan w:val="2"/>
            <w:vMerge w:val="restart"/>
            <w:vAlign w:val="center"/>
          </w:tcPr>
          <w:p>
            <w:pPr>
              <w:jc w:val="center"/>
              <w:rPr>
                <w:rFonts w:hint="eastAsia"/>
                <w:sz w:val="22"/>
                <w:szCs w:val="21"/>
              </w:rPr>
            </w:pPr>
            <w:r>
              <w:rPr>
                <w:rFonts w:hint="eastAsia"/>
                <w:sz w:val="22"/>
                <w:szCs w:val="21"/>
              </w:rPr>
              <w:t>项目来源</w:t>
            </w:r>
          </w:p>
        </w:tc>
        <w:tc>
          <w:tcPr>
            <w:tcW w:w="8750" w:type="dxa"/>
            <w:gridSpan w:val="11"/>
            <w:vAlign w:val="center"/>
          </w:tcPr>
          <w:p>
            <w:pPr>
              <w:jc w:val="left"/>
              <w:rPr>
                <w:rFonts w:hint="eastAsia"/>
                <w:szCs w:val="21"/>
              </w:rPr>
            </w:pPr>
            <w:r>
              <w:rPr>
                <w:rFonts w:hint="eastAsia" w:ascii="GulimChe" w:hAnsi="GulimChe" w:eastAsia="GulimChe"/>
                <w:sz w:val="22"/>
                <w:szCs w:val="22"/>
              </w:rPr>
              <w:t>□</w:t>
            </w:r>
            <w:r>
              <w:rPr>
                <w:rFonts w:hint="eastAsia" w:ascii="GulimChe" w:hAnsi="GulimChe"/>
                <w:sz w:val="22"/>
                <w:szCs w:val="22"/>
              </w:rPr>
              <w:t xml:space="preserve">学生自选课题           ☑导师科研项目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1189" w:type="dxa"/>
            <w:gridSpan w:val="2"/>
            <w:vMerge w:val="continue"/>
            <w:vAlign w:val="center"/>
          </w:tcPr>
          <w:p>
            <w:pPr>
              <w:jc w:val="center"/>
              <w:rPr>
                <w:rFonts w:hint="eastAsia"/>
                <w:sz w:val="22"/>
                <w:szCs w:val="21"/>
              </w:rPr>
            </w:pPr>
          </w:p>
        </w:tc>
        <w:tc>
          <w:tcPr>
            <w:tcW w:w="8750" w:type="dxa"/>
            <w:gridSpan w:val="11"/>
            <w:vAlign w:val="center"/>
          </w:tcPr>
          <w:p>
            <w:pPr>
              <w:jc w:val="left"/>
              <w:rPr>
                <w:rFonts w:hint="eastAsia" w:ascii="GulimChe" w:hAnsi="GulimChe"/>
                <w:sz w:val="22"/>
                <w:szCs w:val="22"/>
              </w:rPr>
            </w:pPr>
            <w:r>
              <w:rPr>
                <w:rFonts w:hint="eastAsia" w:ascii="GulimChe" w:hAnsi="GulimChe"/>
                <w:sz w:val="22"/>
                <w:szCs w:val="22"/>
              </w:rPr>
              <w:t xml:space="preserve">☑与专业实践相关         </w:t>
            </w:r>
            <w:r>
              <w:rPr>
                <w:rFonts w:hint="eastAsia" w:ascii="GulimChe" w:hAnsi="GulimChe" w:eastAsia="GulimChe"/>
                <w:sz w:val="22"/>
                <w:szCs w:val="22"/>
              </w:rPr>
              <w:t>□</w:t>
            </w:r>
            <w:r>
              <w:rPr>
                <w:rFonts w:hint="eastAsia" w:ascii="GulimChe" w:hAnsi="GulimChe"/>
                <w:sz w:val="22"/>
                <w:szCs w:val="22"/>
              </w:rPr>
              <w:t xml:space="preserve"> 与课程设计相关</w:t>
            </w:r>
          </w:p>
          <w:p>
            <w:pPr>
              <w:spacing w:line="360" w:lineRule="auto"/>
              <w:jc w:val="left"/>
              <w:rPr>
                <w:rFonts w:hint="eastAsia" w:ascii="GulimChe" w:hAnsi="GulimChe"/>
                <w:sz w:val="22"/>
                <w:szCs w:val="22"/>
              </w:rPr>
            </w:pPr>
            <w:r>
              <w:rPr>
                <w:rFonts w:hAnsi="GulimChe"/>
                <w:sz w:val="22"/>
                <w:szCs w:val="22"/>
              </w:rPr>
              <w:t>是否以</w:t>
            </w:r>
            <w:r>
              <w:rPr>
                <w:sz w:val="22"/>
                <w:szCs w:val="22"/>
              </w:rPr>
              <w:t>USRP</w:t>
            </w:r>
            <w:r>
              <w:rPr>
                <w:rFonts w:hint="eastAsia"/>
                <w:sz w:val="22"/>
                <w:szCs w:val="22"/>
              </w:rPr>
              <w:t xml:space="preserve">课题为基础  </w:t>
            </w:r>
            <w:r>
              <w:rPr>
                <w:rFonts w:hint="eastAsia" w:ascii="GulimChe" w:hAnsi="GulimChe" w:eastAsia="GulimChe"/>
                <w:sz w:val="22"/>
                <w:szCs w:val="22"/>
              </w:rPr>
              <w:t>□</w:t>
            </w:r>
            <w:r>
              <w:rPr>
                <w:rFonts w:hint="eastAsia" w:ascii="GulimChe" w:hAnsi="GulimChe"/>
                <w:sz w:val="22"/>
                <w:szCs w:val="22"/>
              </w:rPr>
              <w:t>是 ☑否  如果是，请填写</w:t>
            </w:r>
            <w:r>
              <w:rPr>
                <w:rFonts w:hint="eastAsia"/>
                <w:sz w:val="22"/>
                <w:szCs w:val="22"/>
              </w:rPr>
              <w:t>USRP课题名称：</w:t>
            </w:r>
          </w:p>
          <w:p>
            <w:pPr>
              <w:spacing w:before="156" w:beforeLines="50"/>
              <w:ind w:left="210" w:leftChars="100" w:firstLine="440" w:firstLineChars="200"/>
              <w:jc w:val="left"/>
              <w:rPr>
                <w:rFonts w:hint="eastAsia" w:ascii="GulimChe" w:hAnsi="GulimChe" w:eastAsia="GulimChe"/>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2" w:hRule="atLeast"/>
          <w:jc w:val="center"/>
        </w:trPr>
        <w:tc>
          <w:tcPr>
            <w:tcW w:w="1189" w:type="dxa"/>
            <w:gridSpan w:val="2"/>
            <w:vAlign w:val="center"/>
          </w:tcPr>
          <w:p>
            <w:pPr>
              <w:jc w:val="center"/>
              <w:rPr>
                <w:rFonts w:hint="eastAsia"/>
                <w:sz w:val="22"/>
                <w:szCs w:val="21"/>
              </w:rPr>
            </w:pPr>
            <w:r>
              <w:rPr>
                <w:rFonts w:hint="eastAsia"/>
                <w:sz w:val="22"/>
                <w:szCs w:val="21"/>
              </w:rPr>
              <w:t>成果导向</w:t>
            </w:r>
          </w:p>
        </w:tc>
        <w:tc>
          <w:tcPr>
            <w:tcW w:w="8750" w:type="dxa"/>
            <w:gridSpan w:val="11"/>
            <w:vAlign w:val="center"/>
          </w:tcPr>
          <w:p>
            <w:pPr>
              <w:spacing w:line="480" w:lineRule="auto"/>
              <w:jc w:val="left"/>
              <w:rPr>
                <w:rFonts w:ascii="宋体" w:hAnsi="宋体"/>
                <w:sz w:val="22"/>
                <w:szCs w:val="22"/>
              </w:rPr>
            </w:pPr>
            <w:r>
              <w:rPr>
                <w:rFonts w:hint="eastAsia" w:ascii="宋体" w:hAnsi="宋体"/>
                <w:sz w:val="22"/>
                <w:szCs w:val="22"/>
              </w:rPr>
              <w:t>□以</w:t>
            </w:r>
            <w:r>
              <w:rPr>
                <w:rFonts w:hint="eastAsia" w:ascii="宋体" w:hAnsi="宋体" w:cs="微软雅黑"/>
                <w:sz w:val="22"/>
                <w:szCs w:val="22"/>
              </w:rPr>
              <w:t>参与科创竞赛为导向</w:t>
            </w:r>
            <w:r>
              <w:rPr>
                <w:rFonts w:hint="eastAsia" w:ascii="宋体" w:hAnsi="宋体"/>
                <w:sz w:val="22"/>
                <w:szCs w:val="22"/>
              </w:rPr>
              <w:t>，请填写竞赛名称：</w:t>
            </w:r>
          </w:p>
          <w:p>
            <w:pPr>
              <w:spacing w:line="480" w:lineRule="auto"/>
              <w:jc w:val="left"/>
              <w:rPr>
                <w:rFonts w:hint="eastAsia" w:ascii="宋体" w:hAnsi="宋体"/>
                <w:sz w:val="22"/>
                <w:szCs w:val="22"/>
              </w:rPr>
            </w:pPr>
          </w:p>
          <w:p>
            <w:pPr>
              <w:spacing w:line="480" w:lineRule="auto"/>
              <w:jc w:val="left"/>
              <w:rPr>
                <w:rFonts w:hint="eastAsia" w:ascii="GulimChe" w:hAnsi="GulimChe"/>
                <w:sz w:val="22"/>
                <w:szCs w:val="22"/>
              </w:rPr>
            </w:pPr>
            <w:r>
              <w:rPr>
                <w:rFonts w:hint="eastAsia" w:ascii="宋体" w:hAnsi="宋体"/>
                <w:sz w:val="22"/>
                <w:szCs w:val="22"/>
              </w:rPr>
              <w:t>☑以</w:t>
            </w:r>
            <w:r>
              <w:rPr>
                <w:rFonts w:hint="eastAsia" w:ascii="宋体" w:hAnsi="宋体" w:cs="微软雅黑"/>
                <w:sz w:val="22"/>
                <w:szCs w:val="22"/>
              </w:rPr>
              <w:t>发表学术论文或专利为导向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vAlign w:val="center"/>
          </w:tcPr>
          <w:p>
            <w:pPr>
              <w:jc w:val="center"/>
              <w:rPr>
                <w:rFonts w:hint="eastAsia"/>
                <w:sz w:val="22"/>
                <w:szCs w:val="22"/>
              </w:rPr>
            </w:pPr>
            <w:r>
              <w:rPr>
                <w:rFonts w:hint="eastAsia"/>
                <w:sz w:val="22"/>
                <w:szCs w:val="22"/>
              </w:rPr>
              <w:t>负责人</w:t>
            </w:r>
          </w:p>
        </w:tc>
        <w:tc>
          <w:tcPr>
            <w:tcW w:w="1108" w:type="dxa"/>
            <w:gridSpan w:val="2"/>
            <w:vAlign w:val="center"/>
          </w:tcPr>
          <w:p>
            <w:pPr>
              <w:jc w:val="center"/>
              <w:rPr>
                <w:rFonts w:hint="eastAsia" w:ascii="仿宋_GB2312" w:eastAsia="仿宋_GB2312"/>
                <w:sz w:val="22"/>
                <w:szCs w:val="22"/>
              </w:rPr>
            </w:pPr>
            <w:r>
              <w:rPr>
                <w:rFonts w:hint="eastAsia"/>
                <w:sz w:val="22"/>
                <w:szCs w:val="22"/>
              </w:rPr>
              <w:t>姓名</w:t>
            </w:r>
          </w:p>
        </w:tc>
        <w:tc>
          <w:tcPr>
            <w:tcW w:w="1114" w:type="dxa"/>
            <w:gridSpan w:val="2"/>
            <w:vAlign w:val="center"/>
          </w:tcPr>
          <w:p>
            <w:pPr>
              <w:jc w:val="center"/>
              <w:rPr>
                <w:rFonts w:hint="eastAsia"/>
                <w:sz w:val="22"/>
                <w:szCs w:val="22"/>
              </w:rPr>
            </w:pPr>
            <w:r>
              <w:rPr>
                <w:rFonts w:hint="eastAsia"/>
                <w:sz w:val="22"/>
                <w:szCs w:val="22"/>
              </w:rPr>
              <w:t>学号</w:t>
            </w:r>
          </w:p>
        </w:tc>
        <w:tc>
          <w:tcPr>
            <w:tcW w:w="1701" w:type="dxa"/>
            <w:gridSpan w:val="2"/>
            <w:vAlign w:val="center"/>
          </w:tcPr>
          <w:p>
            <w:pPr>
              <w:jc w:val="center"/>
              <w:rPr>
                <w:rFonts w:hint="eastAsia" w:ascii="仿宋_GB2312" w:eastAsia="仿宋_GB2312"/>
                <w:sz w:val="22"/>
                <w:szCs w:val="22"/>
              </w:rPr>
            </w:pPr>
            <w:r>
              <w:rPr>
                <w:rFonts w:hint="eastAsia"/>
                <w:sz w:val="22"/>
                <w:szCs w:val="22"/>
              </w:rPr>
              <w:t>所在院系</w:t>
            </w:r>
          </w:p>
        </w:tc>
        <w:tc>
          <w:tcPr>
            <w:tcW w:w="1560" w:type="dxa"/>
            <w:gridSpan w:val="2"/>
            <w:vAlign w:val="center"/>
          </w:tcPr>
          <w:p>
            <w:pPr>
              <w:jc w:val="center"/>
              <w:rPr>
                <w:rFonts w:hint="eastAsia" w:ascii="仿宋_GB2312" w:eastAsia="仿宋_GB2312"/>
                <w:sz w:val="22"/>
                <w:szCs w:val="22"/>
              </w:rPr>
            </w:pPr>
            <w:r>
              <w:rPr>
                <w:rFonts w:hint="eastAsia"/>
                <w:sz w:val="22"/>
                <w:szCs w:val="22"/>
              </w:rPr>
              <w:t>专业</w:t>
            </w:r>
          </w:p>
        </w:tc>
        <w:tc>
          <w:tcPr>
            <w:tcW w:w="1578" w:type="dxa"/>
            <w:gridSpan w:val="3"/>
            <w:vAlign w:val="center"/>
          </w:tcPr>
          <w:p>
            <w:pPr>
              <w:jc w:val="center"/>
              <w:rPr>
                <w:rFonts w:hint="eastAsia"/>
                <w:sz w:val="22"/>
                <w:szCs w:val="22"/>
              </w:rPr>
            </w:pPr>
            <w:r>
              <w:rPr>
                <w:rFonts w:hint="eastAsia"/>
                <w:sz w:val="22"/>
                <w:szCs w:val="22"/>
              </w:rPr>
              <w:t>手机</w:t>
            </w:r>
          </w:p>
        </w:tc>
        <w:tc>
          <w:tcPr>
            <w:tcW w:w="2397" w:type="dxa"/>
            <w:vAlign w:val="center"/>
          </w:tcPr>
          <w:p>
            <w:pPr>
              <w:jc w:val="center"/>
              <w:rPr>
                <w:rFonts w:hint="eastAsia"/>
                <w:sz w:val="22"/>
                <w:szCs w:val="22"/>
              </w:rPr>
            </w:pPr>
            <w:r>
              <w:rPr>
                <w:rFonts w:hint="eastAsia"/>
                <w:sz w:val="22"/>
                <w:szCs w:val="22"/>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481" w:type="dxa"/>
            <w:vMerge w:val="continue"/>
            <w:vAlign w:val="center"/>
          </w:tcPr>
          <w:p>
            <w:pPr>
              <w:rPr>
                <w:rFonts w:hint="eastAsia"/>
                <w:sz w:val="22"/>
                <w:szCs w:val="22"/>
              </w:rPr>
            </w:pPr>
          </w:p>
        </w:tc>
        <w:tc>
          <w:tcPr>
            <w:tcW w:w="1108"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焦逸涵</w:t>
            </w:r>
          </w:p>
        </w:tc>
        <w:tc>
          <w:tcPr>
            <w:tcW w:w="1114"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23010624</w:t>
            </w:r>
          </w:p>
        </w:tc>
        <w:tc>
          <w:tcPr>
            <w:tcW w:w="1701" w:type="dxa"/>
            <w:gridSpan w:val="2"/>
            <w:vAlign w:val="center"/>
          </w:tcPr>
          <w:p>
            <w:pPr>
              <w:jc w:val="center"/>
              <w:rPr>
                <w:rFonts w:ascii="仿宋_GB2312" w:eastAsia="仿宋_GB2312"/>
                <w:sz w:val="22"/>
                <w:szCs w:val="22"/>
              </w:rPr>
            </w:pPr>
            <w:r>
              <w:rPr>
                <w:rFonts w:hint="eastAsia" w:ascii="仿宋_GB2312" w:eastAsia="仿宋_GB2312"/>
                <w:sz w:val="22"/>
                <w:szCs w:val="22"/>
              </w:rPr>
              <w:t>化工学院</w:t>
            </w:r>
          </w:p>
        </w:tc>
        <w:tc>
          <w:tcPr>
            <w:tcW w:w="1560" w:type="dxa"/>
            <w:gridSpan w:val="2"/>
            <w:vAlign w:val="center"/>
          </w:tcPr>
          <w:p>
            <w:pPr>
              <w:jc w:val="center"/>
              <w:rPr>
                <w:rFonts w:ascii="仿宋_GB2312" w:eastAsia="仿宋_GB2312"/>
                <w:sz w:val="22"/>
                <w:szCs w:val="22"/>
              </w:rPr>
            </w:pPr>
            <w:bookmarkStart w:id="3" w:name="OLE_LINK1"/>
            <w:r>
              <w:rPr>
                <w:rFonts w:hint="eastAsia" w:ascii="仿宋_GB2312" w:eastAsia="仿宋_GB2312"/>
                <w:sz w:val="22"/>
                <w:szCs w:val="22"/>
              </w:rPr>
              <w:t>化工与工程管理</w:t>
            </w:r>
            <w:bookmarkEnd w:id="3"/>
          </w:p>
        </w:tc>
        <w:tc>
          <w:tcPr>
            <w:tcW w:w="1578" w:type="dxa"/>
            <w:gridSpan w:val="3"/>
            <w:vAlign w:val="center"/>
          </w:tcPr>
          <w:p>
            <w:pPr>
              <w:jc w:val="center"/>
              <w:rPr>
                <w:rFonts w:hint="eastAsia" w:ascii="仿宋_GB2312" w:eastAsia="仿宋_GB2312"/>
                <w:sz w:val="22"/>
                <w:szCs w:val="22"/>
              </w:rPr>
            </w:pPr>
            <w:r>
              <w:rPr>
                <w:rFonts w:hint="eastAsia" w:ascii="仿宋_GB2312" w:eastAsia="仿宋_GB2312"/>
                <w:sz w:val="22"/>
                <w:szCs w:val="22"/>
              </w:rPr>
              <w:t xml:space="preserve">13761466737  </w:t>
            </w:r>
          </w:p>
        </w:tc>
        <w:tc>
          <w:tcPr>
            <w:tcW w:w="2397" w:type="dxa"/>
            <w:vAlign w:val="center"/>
          </w:tcPr>
          <w:p>
            <w:pPr>
              <w:rPr>
                <w:rFonts w:hint="eastAsia" w:ascii="仿宋_GB2312" w:eastAsia="仿宋_GB2312"/>
                <w:sz w:val="22"/>
                <w:szCs w:val="22"/>
              </w:rPr>
            </w:pPr>
            <w:r>
              <w:rPr>
                <w:rFonts w:hint="eastAsia" w:ascii="仿宋_GB2312" w:eastAsia="仿宋_GB2312"/>
                <w:sz w:val="22"/>
                <w:szCs w:val="22"/>
              </w:rPr>
              <w:t xml:space="preserve"> jiaoyihan@139.com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restart"/>
            <w:vAlign w:val="center"/>
          </w:tcPr>
          <w:p>
            <w:pPr>
              <w:jc w:val="center"/>
              <w:rPr>
                <w:rFonts w:hint="eastAsia"/>
                <w:sz w:val="22"/>
                <w:szCs w:val="22"/>
              </w:rPr>
            </w:pPr>
            <w:r>
              <w:rPr>
                <w:rFonts w:hint="eastAsia"/>
                <w:sz w:val="22"/>
                <w:szCs w:val="22"/>
              </w:rPr>
              <w:t>参与</w:t>
            </w:r>
          </w:p>
          <w:p>
            <w:pPr>
              <w:jc w:val="center"/>
              <w:rPr>
                <w:rFonts w:hint="eastAsia"/>
                <w:sz w:val="22"/>
                <w:szCs w:val="22"/>
              </w:rPr>
            </w:pPr>
            <w:r>
              <w:rPr>
                <w:rFonts w:hint="eastAsia"/>
                <w:sz w:val="22"/>
                <w:szCs w:val="22"/>
              </w:rPr>
              <w:t>组员</w:t>
            </w:r>
          </w:p>
        </w:tc>
        <w:tc>
          <w:tcPr>
            <w:tcW w:w="1108"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曲健硕</w:t>
            </w:r>
          </w:p>
        </w:tc>
        <w:tc>
          <w:tcPr>
            <w:tcW w:w="1114" w:type="dxa"/>
            <w:gridSpan w:val="2"/>
            <w:vAlign w:val="center"/>
          </w:tcPr>
          <w:p>
            <w:pPr>
              <w:jc w:val="center"/>
              <w:rPr>
                <w:rFonts w:ascii="仿宋_GB2312" w:eastAsia="仿宋_GB2312"/>
                <w:sz w:val="22"/>
                <w:szCs w:val="22"/>
              </w:rPr>
            </w:pPr>
            <w:r>
              <w:rPr>
                <w:rFonts w:hint="eastAsia" w:ascii="仿宋_GB2312" w:eastAsia="仿宋_GB2312"/>
                <w:sz w:val="22"/>
                <w:szCs w:val="22"/>
              </w:rPr>
              <w:t>23010625</w:t>
            </w:r>
          </w:p>
        </w:tc>
        <w:tc>
          <w:tcPr>
            <w:tcW w:w="1701"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化工学院</w:t>
            </w:r>
          </w:p>
        </w:tc>
        <w:tc>
          <w:tcPr>
            <w:tcW w:w="1560"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化工与工程管理</w:t>
            </w:r>
          </w:p>
        </w:tc>
        <w:tc>
          <w:tcPr>
            <w:tcW w:w="1578" w:type="dxa"/>
            <w:gridSpan w:val="3"/>
            <w:vAlign w:val="center"/>
          </w:tcPr>
          <w:p>
            <w:pPr>
              <w:jc w:val="center"/>
              <w:rPr>
                <w:rFonts w:ascii="仿宋_GB2312" w:eastAsia="仿宋_GB2312"/>
                <w:sz w:val="22"/>
                <w:szCs w:val="22"/>
              </w:rPr>
            </w:pPr>
            <w:r>
              <w:rPr>
                <w:rFonts w:hint="eastAsia" w:ascii="仿宋_GB2312" w:eastAsia="仿宋_GB2312"/>
                <w:sz w:val="22"/>
                <w:szCs w:val="22"/>
              </w:rPr>
              <w:t>13134312531</w:t>
            </w:r>
          </w:p>
        </w:tc>
        <w:tc>
          <w:tcPr>
            <w:tcW w:w="2397" w:type="dxa"/>
            <w:vAlign w:val="center"/>
          </w:tcPr>
          <w:p>
            <w:pPr>
              <w:jc w:val="center"/>
              <w:rPr>
                <w:rFonts w:ascii="仿宋_GB2312" w:eastAsia="仿宋_GB2312"/>
                <w:sz w:val="22"/>
                <w:szCs w:val="22"/>
              </w:rPr>
            </w:pPr>
            <w:r>
              <w:rPr>
                <w:rFonts w:hint="eastAsia" w:ascii="仿宋_GB2312" w:eastAsia="仿宋_GB2312"/>
                <w:sz w:val="22"/>
                <w:szCs w:val="22"/>
              </w:rPr>
              <w:t>2690687343@qq.com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481" w:type="dxa"/>
            <w:vMerge w:val="continue"/>
            <w:vAlign w:val="center"/>
          </w:tcPr>
          <w:p>
            <w:pPr>
              <w:jc w:val="center"/>
              <w:rPr>
                <w:rFonts w:hint="eastAsia"/>
                <w:sz w:val="22"/>
                <w:szCs w:val="22"/>
              </w:rPr>
            </w:pPr>
          </w:p>
        </w:tc>
        <w:tc>
          <w:tcPr>
            <w:tcW w:w="1108"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张禹涵</w:t>
            </w:r>
          </w:p>
        </w:tc>
        <w:tc>
          <w:tcPr>
            <w:tcW w:w="1114" w:type="dxa"/>
            <w:gridSpan w:val="2"/>
            <w:vAlign w:val="center"/>
          </w:tcPr>
          <w:p>
            <w:pPr>
              <w:jc w:val="center"/>
              <w:rPr>
                <w:rFonts w:ascii="仿宋_GB2312" w:eastAsia="仿宋_GB2312"/>
                <w:sz w:val="22"/>
                <w:szCs w:val="22"/>
              </w:rPr>
            </w:pPr>
            <w:r>
              <w:rPr>
                <w:rFonts w:hint="eastAsia" w:ascii="仿宋_GB2312" w:eastAsia="仿宋_GB2312"/>
                <w:sz w:val="22"/>
                <w:szCs w:val="22"/>
              </w:rPr>
              <w:t>23010628</w:t>
            </w:r>
          </w:p>
        </w:tc>
        <w:tc>
          <w:tcPr>
            <w:tcW w:w="1701"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化工学院</w:t>
            </w:r>
          </w:p>
        </w:tc>
        <w:tc>
          <w:tcPr>
            <w:tcW w:w="1560"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化工与工程管理</w:t>
            </w:r>
          </w:p>
        </w:tc>
        <w:tc>
          <w:tcPr>
            <w:tcW w:w="1578" w:type="dxa"/>
            <w:gridSpan w:val="3"/>
            <w:vAlign w:val="center"/>
          </w:tcPr>
          <w:p>
            <w:pPr>
              <w:jc w:val="center"/>
              <w:rPr>
                <w:rFonts w:hint="eastAsia" w:ascii="仿宋_GB2312" w:eastAsia="仿宋_GB2312"/>
                <w:sz w:val="22"/>
                <w:szCs w:val="22"/>
              </w:rPr>
            </w:pPr>
            <w:r>
              <w:rPr>
                <w:rFonts w:hint="eastAsia" w:ascii="仿宋_GB2312" w:eastAsia="仿宋_GB2312"/>
                <w:sz w:val="22"/>
                <w:szCs w:val="22"/>
              </w:rPr>
              <w:t>18860182036</w:t>
            </w:r>
          </w:p>
        </w:tc>
        <w:tc>
          <w:tcPr>
            <w:tcW w:w="2397" w:type="dxa"/>
            <w:vAlign w:val="center"/>
          </w:tcPr>
          <w:p>
            <w:pPr>
              <w:jc w:val="center"/>
              <w:rPr>
                <w:rFonts w:hint="eastAsia" w:ascii="仿宋_GB2312" w:eastAsia="仿宋_GB2312"/>
                <w:sz w:val="22"/>
                <w:szCs w:val="22"/>
              </w:rPr>
            </w:pPr>
            <w:r>
              <w:rPr>
                <w:rFonts w:hint="eastAsia" w:ascii="仿宋_GB2312" w:eastAsia="仿宋_GB2312"/>
                <w:sz w:val="22"/>
                <w:szCs w:val="22"/>
              </w:rPr>
              <w:t>1098906799@qq.com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481" w:type="dxa"/>
            <w:vMerge w:val="continue"/>
            <w:vAlign w:val="center"/>
          </w:tcPr>
          <w:p>
            <w:pPr>
              <w:rPr>
                <w:rFonts w:hint="eastAsia"/>
                <w:sz w:val="22"/>
                <w:szCs w:val="22"/>
              </w:rPr>
            </w:pPr>
          </w:p>
        </w:tc>
        <w:tc>
          <w:tcPr>
            <w:tcW w:w="1108"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张宇轩</w:t>
            </w:r>
          </w:p>
        </w:tc>
        <w:tc>
          <w:tcPr>
            <w:tcW w:w="1114"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23010614</w:t>
            </w:r>
          </w:p>
        </w:tc>
        <w:tc>
          <w:tcPr>
            <w:tcW w:w="1701"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化工学院</w:t>
            </w:r>
          </w:p>
        </w:tc>
        <w:tc>
          <w:tcPr>
            <w:tcW w:w="1560" w:type="dxa"/>
            <w:gridSpan w:val="2"/>
            <w:vAlign w:val="center"/>
          </w:tcPr>
          <w:p>
            <w:pPr>
              <w:jc w:val="center"/>
              <w:rPr>
                <w:rFonts w:hint="eastAsia" w:ascii="仿宋_GB2312" w:eastAsia="仿宋_GB2312"/>
                <w:sz w:val="22"/>
                <w:szCs w:val="22"/>
              </w:rPr>
            </w:pPr>
            <w:r>
              <w:rPr>
                <w:rFonts w:hint="eastAsia" w:ascii="仿宋_GB2312" w:eastAsia="仿宋_GB2312"/>
                <w:sz w:val="22"/>
                <w:szCs w:val="22"/>
              </w:rPr>
              <w:t>化工与工程管理</w:t>
            </w:r>
          </w:p>
        </w:tc>
        <w:tc>
          <w:tcPr>
            <w:tcW w:w="1578" w:type="dxa"/>
            <w:gridSpan w:val="3"/>
            <w:vAlign w:val="center"/>
          </w:tcPr>
          <w:p>
            <w:pPr>
              <w:jc w:val="center"/>
              <w:rPr>
                <w:rFonts w:hint="eastAsia" w:ascii="仿宋_GB2312" w:eastAsia="仿宋_GB2312"/>
                <w:sz w:val="22"/>
                <w:szCs w:val="22"/>
              </w:rPr>
            </w:pPr>
            <w:r>
              <w:rPr>
                <w:rFonts w:hint="eastAsia" w:ascii="仿宋_GB2312" w:eastAsia="仿宋_GB2312"/>
                <w:sz w:val="22"/>
                <w:szCs w:val="22"/>
              </w:rPr>
              <w:t xml:space="preserve">18018546063  </w:t>
            </w:r>
          </w:p>
        </w:tc>
        <w:tc>
          <w:tcPr>
            <w:tcW w:w="2397" w:type="dxa"/>
            <w:vAlign w:val="center"/>
          </w:tcPr>
          <w:p>
            <w:pPr>
              <w:jc w:val="center"/>
              <w:rPr>
                <w:rFonts w:hint="eastAsia" w:ascii="仿宋_GB2312" w:eastAsia="仿宋_GB2312"/>
                <w:sz w:val="22"/>
                <w:szCs w:val="22"/>
              </w:rPr>
            </w:pPr>
            <w:r>
              <w:rPr>
                <w:rFonts w:hint="eastAsia" w:ascii="仿宋_GB2312" w:eastAsia="仿宋_GB2312"/>
                <w:sz w:val="22"/>
                <w:szCs w:val="22"/>
              </w:rPr>
              <w:t>193229103@qq.com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restart"/>
            <w:vAlign w:val="center"/>
          </w:tcPr>
          <w:p>
            <w:pPr>
              <w:jc w:val="center"/>
              <w:rPr>
                <w:rFonts w:hint="eastAsia"/>
                <w:sz w:val="22"/>
                <w:szCs w:val="22"/>
              </w:rPr>
            </w:pPr>
            <w:r>
              <w:rPr>
                <w:rFonts w:hint="eastAsia"/>
                <w:sz w:val="22"/>
                <w:szCs w:val="22"/>
              </w:rPr>
              <w:t>指导教师</w:t>
            </w:r>
          </w:p>
        </w:tc>
        <w:tc>
          <w:tcPr>
            <w:tcW w:w="1108" w:type="dxa"/>
            <w:gridSpan w:val="2"/>
            <w:vAlign w:val="center"/>
          </w:tcPr>
          <w:p>
            <w:pPr>
              <w:jc w:val="center"/>
              <w:rPr>
                <w:rFonts w:hint="eastAsia" w:ascii="仿宋_GB2312" w:eastAsia="仿宋_GB2312"/>
                <w:sz w:val="22"/>
                <w:szCs w:val="22"/>
              </w:rPr>
            </w:pPr>
            <w:r>
              <w:rPr>
                <w:rFonts w:hint="eastAsia"/>
                <w:sz w:val="22"/>
                <w:szCs w:val="22"/>
              </w:rPr>
              <w:t>姓名</w:t>
            </w:r>
          </w:p>
        </w:tc>
        <w:tc>
          <w:tcPr>
            <w:tcW w:w="1114" w:type="dxa"/>
            <w:gridSpan w:val="2"/>
            <w:vAlign w:val="center"/>
          </w:tcPr>
          <w:p>
            <w:pPr>
              <w:jc w:val="center"/>
              <w:rPr>
                <w:rFonts w:ascii="仿宋_GB2312" w:eastAsia="仿宋_GB2312"/>
                <w:sz w:val="22"/>
                <w:szCs w:val="22"/>
              </w:rPr>
            </w:pPr>
            <w:r>
              <w:rPr>
                <w:rFonts w:hint="eastAsia" w:ascii="仿宋_GB2312" w:eastAsia="仿宋_GB2312"/>
                <w:sz w:val="22"/>
                <w:szCs w:val="22"/>
              </w:rPr>
              <w:t>高艺霞</w:t>
            </w:r>
          </w:p>
        </w:tc>
        <w:tc>
          <w:tcPr>
            <w:tcW w:w="1701" w:type="dxa"/>
            <w:gridSpan w:val="2"/>
            <w:vAlign w:val="center"/>
          </w:tcPr>
          <w:p>
            <w:pPr>
              <w:jc w:val="center"/>
              <w:rPr>
                <w:rFonts w:hint="eastAsia" w:ascii="仿宋_GB2312" w:eastAsia="仿宋_GB2312"/>
                <w:sz w:val="22"/>
                <w:szCs w:val="22"/>
              </w:rPr>
            </w:pPr>
            <w:r>
              <w:rPr>
                <w:rFonts w:hint="eastAsia"/>
                <w:sz w:val="22"/>
                <w:szCs w:val="22"/>
              </w:rPr>
              <w:t>所在院系</w:t>
            </w:r>
          </w:p>
        </w:tc>
        <w:tc>
          <w:tcPr>
            <w:tcW w:w="5535" w:type="dxa"/>
            <w:gridSpan w:val="6"/>
            <w:vAlign w:val="center"/>
          </w:tcPr>
          <w:p>
            <w:pPr>
              <w:jc w:val="center"/>
              <w:rPr>
                <w:rFonts w:ascii="仿宋_GB2312" w:eastAsia="仿宋_GB2312"/>
                <w:sz w:val="22"/>
                <w:szCs w:val="22"/>
              </w:rPr>
            </w:pPr>
            <w:r>
              <w:rPr>
                <w:rFonts w:hint="eastAsia" w:ascii="仿宋_GB2312" w:eastAsia="仿宋_GB2312"/>
                <w:sz w:val="22"/>
                <w:szCs w:val="22"/>
              </w:rPr>
              <w:t>化工学院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481" w:type="dxa"/>
            <w:vMerge w:val="continue"/>
            <w:vAlign w:val="center"/>
          </w:tcPr>
          <w:p>
            <w:pPr>
              <w:jc w:val="center"/>
              <w:rPr>
                <w:rFonts w:hint="eastAsia"/>
                <w:sz w:val="22"/>
                <w:szCs w:val="22"/>
              </w:rPr>
            </w:pPr>
          </w:p>
        </w:tc>
        <w:tc>
          <w:tcPr>
            <w:tcW w:w="1108" w:type="dxa"/>
            <w:gridSpan w:val="2"/>
            <w:vAlign w:val="center"/>
          </w:tcPr>
          <w:p>
            <w:pPr>
              <w:jc w:val="center"/>
              <w:rPr>
                <w:rFonts w:hint="eastAsia"/>
                <w:sz w:val="22"/>
                <w:szCs w:val="22"/>
              </w:rPr>
            </w:pPr>
            <w:r>
              <w:rPr>
                <w:rFonts w:hint="eastAsia"/>
                <w:sz w:val="22"/>
                <w:szCs w:val="22"/>
              </w:rPr>
              <w:t>联系电话</w:t>
            </w:r>
          </w:p>
        </w:tc>
        <w:tc>
          <w:tcPr>
            <w:tcW w:w="1114" w:type="dxa"/>
            <w:gridSpan w:val="2"/>
            <w:vAlign w:val="center"/>
          </w:tcPr>
          <w:p>
            <w:pPr>
              <w:jc w:val="center"/>
              <w:rPr>
                <w:rFonts w:hint="eastAsia" w:ascii="仿宋_GB2312" w:eastAsia="仿宋_GB2312"/>
                <w:sz w:val="22"/>
                <w:szCs w:val="22"/>
              </w:rPr>
            </w:pPr>
          </w:p>
        </w:tc>
        <w:tc>
          <w:tcPr>
            <w:tcW w:w="1134" w:type="dxa"/>
            <w:vAlign w:val="center"/>
          </w:tcPr>
          <w:p>
            <w:pPr>
              <w:jc w:val="center"/>
              <w:rPr>
                <w:rFonts w:hint="eastAsia" w:ascii="仿宋_GB2312" w:eastAsia="仿宋_GB2312"/>
                <w:sz w:val="22"/>
                <w:szCs w:val="22"/>
              </w:rPr>
            </w:pPr>
            <w:r>
              <w:rPr>
                <w:rFonts w:hint="eastAsia"/>
                <w:sz w:val="22"/>
                <w:szCs w:val="22"/>
              </w:rPr>
              <w:t>手机</w:t>
            </w:r>
          </w:p>
        </w:tc>
        <w:tc>
          <w:tcPr>
            <w:tcW w:w="1418" w:type="dxa"/>
            <w:gridSpan w:val="2"/>
            <w:vAlign w:val="center"/>
          </w:tcPr>
          <w:p>
            <w:pPr>
              <w:jc w:val="center"/>
              <w:rPr>
                <w:rFonts w:eastAsia="仿宋_GB2312"/>
                <w:sz w:val="22"/>
                <w:szCs w:val="22"/>
              </w:rPr>
            </w:pPr>
            <w:r>
              <w:rPr>
                <w:rFonts w:eastAsia="仿宋_GB2312"/>
                <w:szCs w:val="21"/>
              </w:rPr>
              <w:t>18917100171</w:t>
            </w:r>
          </w:p>
        </w:tc>
        <w:tc>
          <w:tcPr>
            <w:tcW w:w="992" w:type="dxa"/>
            <w:gridSpan w:val="2"/>
            <w:vAlign w:val="center"/>
          </w:tcPr>
          <w:p>
            <w:pPr>
              <w:jc w:val="center"/>
              <w:rPr>
                <w:rFonts w:eastAsia="仿宋_GB2312"/>
                <w:sz w:val="22"/>
                <w:szCs w:val="22"/>
              </w:rPr>
            </w:pPr>
            <w:r>
              <w:rPr>
                <w:rFonts w:eastAsia="仿宋_GB2312"/>
                <w:sz w:val="22"/>
                <w:szCs w:val="22"/>
              </w:rPr>
              <w:t>E-mail</w:t>
            </w:r>
          </w:p>
        </w:tc>
        <w:tc>
          <w:tcPr>
            <w:tcW w:w="3692" w:type="dxa"/>
            <w:gridSpan w:val="3"/>
            <w:vAlign w:val="center"/>
          </w:tcPr>
          <w:p>
            <w:pPr>
              <w:jc w:val="center"/>
              <w:rPr>
                <w:rFonts w:eastAsia="仿宋_GB2312"/>
                <w:sz w:val="22"/>
                <w:szCs w:val="22"/>
              </w:rPr>
            </w:pPr>
            <w:r>
              <w:rPr>
                <w:rFonts w:eastAsia="微软雅黑"/>
                <w:color w:val="212529"/>
                <w:szCs w:val="21"/>
                <w:shd w:val="clear" w:color="auto" w:fill="F4F5F8"/>
              </w:rPr>
              <w:t>gaoyixia@ecust.edu.cn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481" w:type="dxa"/>
            <w:vMerge w:val="continue"/>
            <w:vAlign w:val="center"/>
          </w:tcPr>
          <w:p>
            <w:pPr>
              <w:rPr>
                <w:rFonts w:hint="eastAsia"/>
                <w:sz w:val="22"/>
                <w:szCs w:val="22"/>
              </w:rPr>
            </w:pPr>
          </w:p>
        </w:tc>
        <w:tc>
          <w:tcPr>
            <w:tcW w:w="1372" w:type="dxa"/>
            <w:gridSpan w:val="3"/>
            <w:vAlign w:val="center"/>
          </w:tcPr>
          <w:p>
            <w:pPr>
              <w:jc w:val="center"/>
              <w:rPr>
                <w:rFonts w:hint="eastAsia" w:ascii="仿宋_GB2312" w:eastAsia="仿宋_GB2312"/>
                <w:sz w:val="22"/>
                <w:szCs w:val="22"/>
              </w:rPr>
            </w:pPr>
            <w:r>
              <w:rPr>
                <w:rFonts w:hint="eastAsia"/>
                <w:sz w:val="22"/>
                <w:szCs w:val="22"/>
              </w:rPr>
              <w:t>职务/职称</w:t>
            </w:r>
          </w:p>
        </w:tc>
        <w:tc>
          <w:tcPr>
            <w:tcW w:w="2551" w:type="dxa"/>
            <w:gridSpan w:val="3"/>
            <w:vAlign w:val="center"/>
          </w:tcPr>
          <w:p>
            <w:pPr>
              <w:jc w:val="center"/>
              <w:rPr>
                <w:rFonts w:hint="eastAsia" w:ascii="仿宋_GB2312" w:eastAsia="仿宋_GB2312"/>
                <w:sz w:val="22"/>
                <w:szCs w:val="22"/>
              </w:rPr>
            </w:pPr>
            <w:r>
              <w:rPr>
                <w:rFonts w:hint="eastAsia" w:ascii="仿宋_GB2312" w:eastAsia="仿宋_GB2312"/>
                <w:sz w:val="22"/>
                <w:szCs w:val="22"/>
              </w:rPr>
              <w:t>化工学院党委副书记</w:t>
            </w:r>
          </w:p>
        </w:tc>
        <w:tc>
          <w:tcPr>
            <w:tcW w:w="1560" w:type="dxa"/>
            <w:gridSpan w:val="2"/>
            <w:vAlign w:val="center"/>
          </w:tcPr>
          <w:p>
            <w:pPr>
              <w:jc w:val="center"/>
              <w:rPr>
                <w:rFonts w:hint="eastAsia"/>
                <w:sz w:val="22"/>
                <w:szCs w:val="22"/>
              </w:rPr>
            </w:pPr>
            <w:r>
              <w:rPr>
                <w:rFonts w:hint="eastAsia"/>
                <w:sz w:val="22"/>
                <w:szCs w:val="22"/>
              </w:rPr>
              <w:t>主要研究方向</w:t>
            </w:r>
          </w:p>
        </w:tc>
        <w:tc>
          <w:tcPr>
            <w:tcW w:w="3975" w:type="dxa"/>
            <w:gridSpan w:val="4"/>
            <w:vAlign w:val="center"/>
          </w:tcPr>
          <w:p>
            <w:pPr>
              <w:jc w:val="center"/>
              <w:rPr>
                <w:rFonts w:hint="eastAsia" w:ascii="仿宋_GB2312" w:eastAsia="仿宋_GB2312"/>
                <w:sz w:val="22"/>
                <w:szCs w:val="22"/>
              </w:rPr>
            </w:pPr>
          </w:p>
        </w:tc>
      </w:tr>
    </w:tbl>
    <w:p>
      <w:pPr>
        <w:spacing w:before="312" w:beforeLines="100" w:after="156" w:afterLines="50"/>
        <w:rPr>
          <w:b/>
          <w:sz w:val="32"/>
          <w:szCs w:val="32"/>
        </w:rPr>
      </w:pPr>
    </w:p>
    <w:p>
      <w:pPr>
        <w:spacing w:before="312" w:beforeLines="100" w:after="156" w:afterLines="50"/>
        <w:rPr>
          <w:b/>
          <w:sz w:val="32"/>
          <w:szCs w:val="32"/>
        </w:rPr>
      </w:pPr>
      <w:bookmarkStart w:id="6" w:name="_GoBack"/>
      <w:bookmarkEnd w:id="6"/>
      <w:r>
        <w:rPr>
          <w:b/>
          <w:sz w:val="32"/>
          <w:szCs w:val="32"/>
        </w:rPr>
        <w:br w:type="page"/>
      </w:r>
      <w:r>
        <w:rPr>
          <w:rFonts w:hint="eastAsia"/>
          <w:b/>
          <w:sz w:val="32"/>
          <w:szCs w:val="32"/>
        </w:rPr>
        <w:t>二、项目申请理由</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81" w:type="dxa"/>
            <w:vMerge w:val="restart"/>
            <w:vAlign w:val="center"/>
          </w:tcPr>
          <w:p>
            <w:pPr>
              <w:rPr>
                <w:rFonts w:hint="eastAsia"/>
                <w:b/>
                <w:sz w:val="24"/>
              </w:rPr>
            </w:pPr>
            <w:r>
              <w:rPr>
                <w:rFonts w:hint="eastAsia"/>
                <w:sz w:val="22"/>
                <w:szCs w:val="22"/>
              </w:rPr>
              <w:tab/>
            </w:r>
            <w:r>
              <w:rPr>
                <w:rFonts w:hint="eastAsia"/>
                <w:b/>
                <w:sz w:val="24"/>
              </w:rPr>
              <w:t>项</w:t>
            </w:r>
          </w:p>
          <w:p>
            <w:pPr>
              <w:rPr>
                <w:rFonts w:hint="eastAsia"/>
                <w:b/>
                <w:sz w:val="24"/>
              </w:rPr>
            </w:pPr>
            <w:r>
              <w:rPr>
                <w:rFonts w:hint="eastAsia"/>
                <w:b/>
                <w:sz w:val="24"/>
              </w:rPr>
              <w:t>目</w:t>
            </w:r>
          </w:p>
          <w:p>
            <w:pPr>
              <w:rPr>
                <w:rFonts w:hint="eastAsia"/>
                <w:b/>
                <w:sz w:val="24"/>
              </w:rPr>
            </w:pPr>
            <w:r>
              <w:rPr>
                <w:rFonts w:hint="eastAsia"/>
                <w:b/>
                <w:sz w:val="24"/>
              </w:rPr>
              <w:t>背景和</w:t>
            </w:r>
          </w:p>
          <w:p>
            <w:pPr>
              <w:rPr>
                <w:rFonts w:hint="eastAsia"/>
                <w:b/>
                <w:sz w:val="24"/>
              </w:rPr>
            </w:pPr>
            <w:r>
              <w:rPr>
                <w:rFonts w:hint="eastAsia"/>
                <w:b/>
                <w:sz w:val="24"/>
              </w:rPr>
              <w:t>意义</w:t>
            </w:r>
          </w:p>
        </w:tc>
        <w:tc>
          <w:tcPr>
            <w:tcW w:w="9458" w:type="dxa"/>
            <w:tcBorders>
              <w:bottom w:val="nil"/>
            </w:tcBorders>
          </w:tcPr>
          <w:p>
            <w:pPr>
              <w:spacing w:line="300" w:lineRule="auto"/>
              <w:rPr>
                <w:rFonts w:hint="eastAsia" w:ascii="仿宋_GB2312" w:hAnsi="宋体" w:eastAsia="仿宋_GB2312"/>
                <w:sz w:val="24"/>
              </w:rPr>
            </w:pPr>
            <w:r>
              <w:rPr>
                <w:rFonts w:hint="eastAsia" w:ascii="仿宋_GB2312" w:hAnsi="宋体" w:eastAsia="仿宋_GB2312"/>
                <w:sz w:val="24"/>
              </w:rPr>
              <w:t>（选题的来源，国内外</w:t>
            </w:r>
            <w:r>
              <w:rPr>
                <w:rFonts w:hint="eastAsia" w:ascii="仿宋_GB2312" w:eastAsia="仿宋_GB2312"/>
                <w:sz w:val="24"/>
              </w:rPr>
              <w:t>同类研究工作的现状、方法、难点等，前期准备工作</w:t>
            </w:r>
            <w:r>
              <w:rPr>
                <w:rFonts w:hint="eastAsia" w:ascii="仿宋_GB2312" w:hAnsi="宋体" w:eastAsia="仿宋_GB231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8" w:hRule="atLeast"/>
          <w:jc w:val="center"/>
        </w:trPr>
        <w:tc>
          <w:tcPr>
            <w:tcW w:w="481" w:type="dxa"/>
            <w:vMerge w:val="continue"/>
            <w:vAlign w:val="center"/>
          </w:tcPr>
          <w:p>
            <w:pPr>
              <w:rPr>
                <w:rFonts w:hint="eastAsia"/>
                <w:sz w:val="22"/>
                <w:szCs w:val="22"/>
              </w:rPr>
            </w:pPr>
          </w:p>
        </w:tc>
        <w:tc>
          <w:tcPr>
            <w:tcW w:w="9458" w:type="dxa"/>
            <w:tcBorders>
              <w:top w:val="nil"/>
              <w:bottom w:val="single" w:color="auto" w:sz="4" w:space="0"/>
            </w:tcBorders>
          </w:tcPr>
          <w:p>
            <w:pPr>
              <w:spacing w:line="300" w:lineRule="auto"/>
              <w:rPr>
                <w:b/>
                <w:bCs/>
                <w:sz w:val="24"/>
              </w:rPr>
            </w:pPr>
            <w:r>
              <w:rPr>
                <w:b/>
                <w:bCs/>
                <w:sz w:val="24"/>
              </w:rPr>
              <w:t>（一）研究背景</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发光二极管（Light-emitting</w:t>
            </w:r>
            <w:r>
              <w:rPr>
                <w:rFonts w:ascii="Times New Roman" w:hAnsi="Times New Roman" w:cs="Times New Roman"/>
                <w:color w:val="212529"/>
                <w:shd w:val="clear" w:color="auto" w:fill="FFFFFF"/>
              </w:rPr>
              <w:t xml:space="preserve"> D</w:t>
            </w:r>
            <w:r>
              <w:rPr>
                <w:rFonts w:hint="eastAsia" w:ascii="Times New Roman" w:hAnsi="Times New Roman" w:cs="Times New Roman"/>
                <w:color w:val="212529"/>
                <w:shd w:val="clear" w:color="auto" w:fill="FFFFFF"/>
              </w:rPr>
              <w:t>iode</w:t>
            </w:r>
            <w:r>
              <w:rPr>
                <w:rFonts w:ascii="Times New Roman" w:hAnsi="Times New Roman" w:cs="Times New Roman"/>
                <w:color w:val="212529"/>
                <w:shd w:val="clear" w:color="auto" w:fill="FFFFFF"/>
              </w:rPr>
              <w:t>, LED</w:t>
            </w:r>
            <w:r>
              <w:rPr>
                <w:rFonts w:hint="eastAsia" w:ascii="Times New Roman" w:hAnsi="Times New Roman" w:cs="Times New Roman"/>
                <w:color w:val="212529"/>
                <w:shd w:val="clear" w:color="auto" w:fill="FFFFFF"/>
              </w:rPr>
              <w:t>）作为新一代显示设备，以其发光强度高、寿命长、节能环保等优点备受关注</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{"citationID":"m7UD0atm","properties":{"formattedCitation":"\\super [1,2]\\nosupersub{}","plainCitation":"[1,2]","noteIndex":0},"citationItems":[{"id":1065,"uris":["http://zotero.org/users/10834060/items/D2H4N7TW"],"itemData":{"id":1065,"type":"article-journal","abstract":"Recently, all-inorganic perovskite light-emitting diodes (PeLEDs) have attracted both academic and industrial interest thanks to their outstanding properties, such as high efficiency, bright luminance, excellent color purity, low cost and potentially good operational stability. Apart from the design and treatment of all-inorganic emitters, the device engineering is another significant factor to guarantee the high performance. In this review, we have summarized the state-of-the-art concepts for device engineering in all-inorganic PeLEDs, where the charge injection, transport, balance and leakage play a critical role in the performance. First, we have described the fundamental concepts of all-inorganic PeLEDs. Then, we have introduced the enhancement of device engineering in all-inorganic PeLEDs. Particularly, we have comprehensively highlighted the emergence of all-inorganic PeLEDs, strategies to improve the hole injection, approaches to enhance the electron injection, schemes to increase the charge balance and methods to decrease the charge leakage. Finally, we have clarified the issues and ways to further enhance the performance of all-inorganic PeLEDs.","container-title":"Nanomaterials","DOI":"10.3390/nano9071007","ISSN":"2079-4991","issue":"7","language":"en","license":"http://creativecommons.org/licenses/by/3.0/","note":"number: 7\npublisher: Multidisciplinary Digital Publishing Institute","page":"1007","source":"www.mdpi.com","title":"Device Engineering for All-Inorganic Perovskite Light-Emitting Diodes","volume":"9","author":[{"family":"Luo","given":"Dongxiang"},{"family":"Chen","given":"Qizan"},{"family":"Qiu","given":"Ying"},{"family":"Zhang","given":"Menglong"},{"family":"Liu","given":"Baiquan"}],"issued":{"date-parts":[["2019",7]]}}},{"id":1066,"uris":["http://zotero.org/users/10834060/items/IEXDLM2F"],"itemData":{"id":1066,"type":"article-journal","abstract":"Metal halide perovskites (MHPs) have outstanding photophysical properties and are therefore being evaluated as next-generation light emitters. Within just a few years, the efficiencies of polycrystalline perovskite light-emitting diodes (PeLEDs) have been drastically improved and are catching up with those of conventional organic LEDs. The electroluminescence efficiency of polycrystalline PeLEDs has been limited by shortcomings such as limited outcoupling efficiency, charge imbalance in MHP emitting layers, difficulty controlling surface morphology, small exciton binding energy at room temperature, and nonradiative recombination at defect sites. In this Perspective, we focus on promising strategies such as optical engineering, charge balance control, morphological and nanograin engineering, and chemical modification to overcome these shortcomings and suggest future directions for research to further improve the efficiencies of polycrystalline PeLEDs.","container-title":"ACS Energy Letters","DOI":"10.1021/acsenergylett.9b00518","issue":"5","journalAbbreviation":"ACS Energy Lett.","note":"publisher: American Chemical Society","page":"1134-1149","source":"ACS Publications","title":"Boosting Efficiency in Polycrystalline Metal Halide Perovskite Light-Emitting Diodes","volume":"4","author":[{"family":"Park","given":"Min-Ho"},{"family":"Kim","given":"Joo Sung"},{"family":"Heo","given":"Jung-Min"},{"family":"Ahn","given":"Soyeong"},{"family":"Jeong","given":"Su-Hun"},{"family":"Lee","given":"Tae-Woo"}],"issued":{"date-parts":[["2019",5,10]]}}}],"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[1,2]</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。然而，传统无机半导体L</w:t>
            </w:r>
            <w:r>
              <w:rPr>
                <w:rFonts w:ascii="Times New Roman" w:hAnsi="Times New Roman" w:cs="Times New Roman"/>
                <w:color w:val="212529"/>
                <w:shd w:val="clear" w:color="auto" w:fill="FFFFFF"/>
              </w:rPr>
              <w:t>ED</w:t>
            </w:r>
            <w:r>
              <w:rPr>
                <w:rFonts w:hint="eastAsia" w:ascii="Times New Roman" w:hAnsi="Times New Roman" w:cs="Times New Roman"/>
                <w:color w:val="212529"/>
                <w:shd w:val="clear" w:color="auto" w:fill="FFFFFF"/>
              </w:rPr>
              <w:t>的制备由于需要高真空度及高温制备，使其应用受到极大的限制</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{"citationID":"KusQotrb","properties":{"formattedCitation":"\\super [3]\\nosupersub{}","plainCitation":"[3]","noteIndex":0},"citationItems":[{"id":1068,"uris":["http://zotero.org/users/10834060/items/YWVFTM5J"],"itemData":{"id":1068,"type":"article-journal","abstract":"The emerging family of lead–halide perovskite (LHP) nanocrystal emitters has shown impressive achievements in solid-state light-emitting applications. With luminous efficiency comparable to that of organic light-emitting diodes, LHP light-emitting diodes (PeLEDs) have demonstrated a wide colour gamut with high colour purity and a widely tunable range of emissive wavelengths across the whole visible range. Herein, the understanding of LHP nanocrystals in light emission and the resulting PeLEDs are reviewed. Additionally, key features of LHP nanocrystal emitters applied in PeLEDs and guidelines towards realizing high-performance devices are discussed.","container-title":"Nanoscale","DOI":"10.1039/C9NR03533H","ISSN":"2040-3372","issue":"24","journalAbbreviation":"Nanoscale","language":"en","note":"publisher: The Royal Society of Chemistry","page":"11402-11412","source":"pubs.rsc.org","title":"LEDs using halide perovskite nanocrystal emitters","volume":"11","author":[{"family":"Yan","given":"Fei"},{"family":"Demir","given":"Hilmi Volkan"}],"issued":{"date-parts":[["2019",6,20]]}}}],"schema":"https://github.com/citation-style-language/schema/raw/master/csl-citation.json"}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[3]</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w:t>
            </w:r>
            <w:r>
              <w:rPr>
                <w:rFonts w:ascii="Times New Roman" w:hAnsi="Times New Roman" w:cs="Times New Roman"/>
                <w:color w:val="212529"/>
                <w:shd w:val="clear" w:color="auto" w:fill="FFFFFF"/>
              </w:rPr>
              <w:t>随着纳米科技的飞速发展，钙钛矿量子点作为具有量子约束效应的纳米级半导体粒子，具有发射波长可调、高光致发光量子产率(Photoluminescence quantum yield, PLQY)、高色纯度和低工作阈值等独特的物理性质，在显示技术、光伏器件以及生物成像等领域展现出巨大的应用潜力。然而传统的钙钛矿量子点合成方法通常需要高温条件或使用大量抗溶剂，这大大限制了其应用范围。因此，通过分子层面的设计来调控钙钛矿量子点的成核与结晶动力学，在改善其稳定性和发光性能的同时，能在温和条件下制备高质量的钙钛矿量子点成为了当前研究的热点。</w:t>
            </w:r>
          </w:p>
          <w:p>
            <w:pPr>
              <w:spacing w:line="300" w:lineRule="auto"/>
              <w:rPr>
                <w:rFonts w:hint="eastAsia"/>
                <w:b/>
                <w:bCs/>
                <w:sz w:val="24"/>
              </w:rPr>
            </w:pPr>
            <w:r>
              <w:rPr>
                <w:b/>
                <w:bCs/>
                <w:sz w:val="24"/>
              </w:rPr>
              <w:t>（</w:t>
            </w:r>
            <w:r>
              <w:rPr>
                <w:rFonts w:hint="eastAsia"/>
                <w:b/>
                <w:bCs/>
                <w:sz w:val="24"/>
              </w:rPr>
              <w:t>二</w:t>
            </w:r>
            <w:r>
              <w:rPr>
                <w:b/>
                <w:bCs/>
                <w:sz w:val="24"/>
              </w:rPr>
              <w:t>）</w:t>
            </w:r>
            <w:r>
              <w:rPr>
                <w:rFonts w:hint="eastAsia"/>
                <w:b/>
                <w:bCs/>
                <w:sz w:val="24"/>
              </w:rPr>
              <w:t>国内外同类研究的现状、方法、难点</w:t>
            </w:r>
          </w:p>
          <w:p>
            <w:pPr>
              <w:pStyle w:val="11"/>
              <w:shd w:val="clear" w:color="auto" w:fill="FFFFFF"/>
              <w:spacing w:before="0" w:beforeAutospacing="0" w:after="0" w:afterAutospacing="0" w:line="300" w:lineRule="auto"/>
              <w:ind w:firstLine="480" w:firstLineChars="200"/>
              <w:rPr>
                <w:rFonts w:hint="eastAsia" w:ascii="Times New Roman" w:hAnsi="Times New Roman" w:cs="Times New Roman"/>
                <w:color w:val="212529"/>
              </w:rPr>
            </w:pPr>
            <w:r>
              <w:rPr>
                <w:rFonts w:hint="eastAsia" w:ascii="Times New Roman" w:hAnsi="Times New Roman" w:cs="Times New Roman"/>
                <w:color w:val="212529"/>
              </w:rPr>
              <w:t>目前关于钙钛矿量子点的合成主要有热注入法</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{"citationID":"yAuOz5wT","properties":{"formattedCitation":"\\super [4]\\nosupersub{}","plainCitation":"[4]","noteIndex":0},"citationItems":[{"id":1070,"uris":["http://zotero.org/users/10834060/items/4AU2G4AS"],"itemData":{"id":1070,"type":"article-journal","abstract":"Solar cells and light-emitting diodes (LEDs) based on metal-halide perovskites are transitioning from promising performers to direct competitors to well-established technologies, with cost-effectiveness as a strong advantage. Nanostructured perovskites have yielded record LEDs due to their higher versatility in the local management of charge carriers, which has enabled photoluminescence quantum yields (PLQYs) close to 100%. However, these perovskite nanostructures are yet to be fully exploited in other applications such as photovoltaics, where they can also present competitive advantages as they enable feasible routes to surpass the Shockley–Queisser limit by means of multiexciton generation or hot-carrier extraction. Besides conventional applications, the extraordinary properties of these materials have the potential to unlock novel areas of research. Herein, the potential of perovskite nanostructures—with the focus on the widely developed nanoparticles—beyond classical thin-film optoelectronics is analyzed, their limits of application are discussed, and their real possibilities are pondered.","container-title":"Small Methods","DOI":"10.1002/smtd.201800231","ISSN":"2366-9608","issue":"1","language":"en","license":"© 2018 WILEY-VCH Verlag GmbH &amp; Co. KGaA, Weinheim","note":"_eprint: https://onlinelibrary.wiley.com/doi/pdf/10.1002/smtd.201800231","page":"1800231","source":"Wiley Online Library","title":"Perovskite Nanoparticles: Synthesis, Properties, and Novel Applications in Photovoltaics and LEDs","title-short":"Perovskite Nanoparticles","volume":"3","author":[{"family":"Kulkarni","given":"Sneha A."},{"family":"Mhaisalkar","given":"Subodh G."},{"family":"Mathews","given":"Nripan"},{"family":"Boix","given":"Pablo P."}],"issued":{"date-parts":[["2019"]]}}}],"schema":"https://github.com/citation-style-language/schema/raw/master/csl-citation.json"}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[4]</w:t>
            </w:r>
            <w:r>
              <w:rPr>
                <w:rFonts w:ascii="Times New Roman" w:hAnsi="Times New Roman" w:cs="Times New Roman"/>
                <w:color w:val="212529"/>
              </w:rPr>
              <w:fldChar w:fldCharType="end"/>
            </w:r>
            <w:r>
              <w:rPr>
                <w:rFonts w:hint="eastAsia" w:ascii="Times New Roman" w:hAnsi="Times New Roman" w:cs="Times New Roman"/>
                <w:color w:val="212529"/>
              </w:rPr>
              <w:t>、室温抗溶剂合成法</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{"citationID":"OEv9r4RX","properties":{"formattedCitation":"\\super [5,6]\\nosupersub{}","plainCitation":"[5,6]","noteIndex":0},"citationItems":[{"id":1072,"uris":["http://zotero.org/users/10834060/items/MTZ9T5TW"],"itemData":{"id":1072,"type":"article-journal","abstract":"The synthesis of all-inorganic cesium lead halide perovskite quantum dots (QDs) typically requires high temperatures, stringent conditions, large quantities of surface ligands, and judicious purification steps to overcome ligand-induced charge injection barriers in optoelectronic devices. Low-temperature syntheses generally require lower ligand concentrations but are severely limited by the low solubility of the Cs precursor. We describe an innovative and general approach employing crown ethers under ambient conditions to overcome these solubility limitations. The crown ethers facilitate complete dissolution of the CsBr precursor, rendering CsPbBr3 QD inks practical for device fabrication. The resultant light-emitting diodes (LEDs) displayed bright green emission, with a current efficiency and external quantum efficiency of 9.22 cd A–1 and 2.64%, respectively. This represents the first LED based on CsPbBr3 QDs prepared at room temperature. Lastly, the crown ethers form core–shell structures, opening new avenues to exploit their strong coordination strength.","container-title":"ACS Energy Letters","DOI":"10.1021/acsenergylett.7b01257","issue":"3","journalAbbreviation":"ACS Energy Lett.","note":"publisher: American Chemical Society","page":"526-531","source":"ACS Publications","title":"Crown Ethers Enable Room-Temperature Synthesis of CsPbBr3 Quantum Dots for Light-Emitting Diodes","volume":"3","author":[{"family":"Veldhuis","given":"Sjoerd A."},{"family":"Ng","given":"Yan Fong"},{"family":"Ahmad","given":"Riyas"},{"family":"Bruno","given":"Annalisa"},{"family":"Jamaludin","given":"Nur Fadilah"},{"family":"Damodaran","given":"Bahulayan"},{"family":"Mathews","given":"Nripan"},{"family":"Mhaisalkar","given":"Subodh G."}],"issued":{"date-parts":[["2018",3,9]]}}},{"id":1074,"uris":["http://zotero.org/users/10834060/items/Q6EDDHXR"],"itemData":{"id":1074,"type":"article-journal","abstract":"Colloidal halide perovskite nanocrystals are promising candidates for next-generation optoelectronics because of their facile synthesis and their outstanding and size-tunable properties. However, these materials suffer from rapid degradation, similarly to their bulk perovskite counterparts. Here, we survey the most recent strategies to boost perovskite nanocrystals stability, with a special focus on the intrinsic chemical- and compositional-factors at synthetic and post-synthetic stage. Finally, we review the most promising approaches to address the environmental extrinsic stability of perovskite nanocrystals (PNCs). Our final goal is to outline the most promising research directions to enhance PNCs’ lifetime, bringing them a step closer to their commercialization.","container-title":"Materials","DOI":"10.3390/ma12223733","ISSN":"1996-1944","issue":"22","language":"en","license":"http://creativecommons.org/licenses/by/3.0/","note":"number: 22\npublisher: Multidisciplinary Digital Publishing Institute","page":"3733","source":"www.mdpi.com","title":"Advances in the Stability of Halide Perovskite Nanocrystals","volume":"12","author":[{"family":"Liu","given":"Maning"},{"family":"Matuhina","given":"Anastasia"},{"family":"Zhang","given":"Haichang"},{"family":"Vivo","given":"Paola"}],"issued":{"date-parts":[["2019",1]]}}}],"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[5,6]</w:t>
            </w:r>
            <w:r>
              <w:rPr>
                <w:rFonts w:ascii="Times New Roman" w:hAnsi="Times New Roman" w:cs="Times New Roman"/>
                <w:color w:val="212529"/>
              </w:rPr>
              <w:fldChar w:fldCharType="end"/>
            </w:r>
            <w:r>
              <w:rPr>
                <w:rFonts w:hint="eastAsia" w:ascii="Times New Roman" w:hAnsi="Times New Roman" w:cs="Times New Roman"/>
                <w:color w:val="212529"/>
              </w:rPr>
              <w:t>、模板辅助合成法</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{"citationID":"zIhaYCVt","properties":{"formattedCitation":"\\super [7]\\nosupersub{}","plainCitation":"[7]","noteIndex":0},"citationItems":[{"id":1076,"uris":["http://zotero.org/users/10834060/items/ANCAC3EI"],"itemData":{"id":1076,"type":"article-journal","abstract":"Colloidal lead halide perovskite nanocrystals (NCs) have recently emerged as a novel class of bright emitters with pure colors spanning the entire visible spectral range. Contrary to conventional quantum dots, such as CdSe and InP NCs, perovskite NCs feature unusual, defect-tolerant photophysics. Specifically, surface dangling bonds and intrinsic point defects such as vacancies do not form midgap states, known to trap carriers and thereby quench photoluminescence (PL). Accordingly, perovskite NCs need not be electronically surface-passivated (with, for instance, ligands and wider-gap materials) and do not noticeably suffer from photo-oxidation. Novel opportunities for their preparation therefore can be envisaged. Herein, we show that the infiltration of perovskite precursor solutions into the pores of mesoporous silica, followed by drying, leads to the template-assisted formation of perovskite NCs. The most striking outcome of this simple methodology is very bright PL with quantum efficiencies exceeding 50%. This facile strategy can be applied to a large variety of perovskite compounds, hybrid and fully inorganic, with the general formula APbX3, where A is cesium (Cs), methylammonium (MA), or formamidinium (FA), and X is Cl, Br, I or a mixture thereof. The luminescent properties of the resulting templated NCs can be tuned by both quantum size effects as well as composition. Also exhibiting intrinsic haze due to scattering within the composite, such materials may find applications as replacements for conventional phosphors in liquid-crystal television display technologies and in related luminescence down-conversion-based devices.","container-title":"Nano Letters","DOI":"10.1021/acs.nanolett.6b02688","ISSN":"1530-6984","issue":"9","journalAbbreviation":"Nano Lett.","note":"publisher: American Chemical Society","page":"5866-5874","source":"ACS Publications","title":"Harnessing Defect-Tolerance at the Nanoscale: Highly Luminescent Lead Halide Perovskite Nanocrystals in Mesoporous Silica Matrixes","title-short":"Harnessing Defect-Tolerance at the Nanoscale","volume":"16","author":[{"family":"Dirin","given":"Dmitry N."},{"family":"Protesescu","given":"Loredana"},{"family":"Trummer","given":"David"},{"family":"Kochetygov","given":"Ilia V."},{"family":"Yakunin","given":"Sergii"},{"family":"Krumeich","given":"Frank"},{"family":"Stadie","given":"Nicholas P."},{"family":"Kovalenko","given":"Maksym V."}],"issued":{"date-parts":[["2016",9,14]]}}}],"schema":"https://github.com/citation-style-language/schema/raw/master/csl-citation.json"}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[7]</w:t>
            </w:r>
            <w:r>
              <w:rPr>
                <w:rFonts w:ascii="Times New Roman" w:hAnsi="Times New Roman" w:cs="Times New Roman"/>
                <w:color w:val="212529"/>
              </w:rPr>
              <w:fldChar w:fldCharType="end"/>
            </w:r>
            <w:r>
              <w:rPr>
                <w:rFonts w:hint="eastAsia" w:ascii="Times New Roman" w:hAnsi="Times New Roman" w:cs="Times New Roman"/>
                <w:color w:val="212529"/>
              </w:rPr>
              <w:t>、微波辅助合成法</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{"citationID":"RDgInBpC","properties":{"formattedCitation":"\\super [8,9]\\nosupersub{}","plainCitation":"[8,9]","noteIndex":0},"citationItems":[{"id":1078,"uris":["http://zotero.org/users/10834060/items/F5EXICV9"],"itemData":{"id":1078,"type":"article-journal","abstract":"By simple microwave irradiation, a high-throughput, single-step, rapid but controllable synthesis of stable colloidal CsPbX3 perovskite NCs with tunable properties and morphologies (nanocubes, nanorods, nanowires, quadrate nanoplates and hexagonal nanoplates) was achieved. It was employed in a heterogeneous solid–liquid reaction system within minutes without any tedious pre-preparation.","container-title":"Chemical Communications","DOI":"10.1039/C7CC04862A","ISSN":"1364-548X","issue":"71","journalAbbreviation":"Chem. Commun.","language":"en","note":"publisher: The Royal Society of Chemistry","page":"9914-9917","source":"pubs.rsc.org","title":"High-throughput and tunable synthesis of colloidal CsPbX3 perovskite nanocrystals in a heterogeneous system by microwave irradiation","volume":"53","author":[{"family":"Long","given":"Zi"},{"family":"Ren","given":"Hong"},{"family":"Sun","given":"Jianghui"},{"family":"Ouyang","given":"Jin"},{"family":"Na","given":"Na"}],"issued":{"date-parts":[["2017",8,31]]}}},{"id":1081,"uris":["http://zotero.org/users/10834060/items/7JZLFKZL"],"itemData":{"id":1081,"type":"article-journal","abstract":"As an emerging material for optoelectronic applications, cesium lead halide (CsPbX3) nanocrystals (NCs) have drawn considerable attention because of their excellent photophysical properties. For the first time, we report a fast and efficient microwave-assisted strategy for the synthesis of high-quality CsPbX3 NCs with controllable morphologies (nanocube, nanoplate and nanorod). The prepared CsPbX3 nanocubes show high PLQY, approximately 75%, and narrow full width at half maximum emission line (from 9 to 34 nm) covering the entire spectrum of the visible range. Plate-like and rod-like CsPbBr3 NCs can also be obtained by attenuating the reaction parameters. A feasible kinetics-controlled growth mechanism of such NCs has been proposed and verified. The as-synthesized CsPbBr3 NCs show excellent optical performance as a green light source in a white light emitting diode prototype device. This work not only provides a new synthetic path for the preparation of high-quality CsPbX3 NCs, but also sheds some light on the fundamental study and practical applications of such NCs.","container-title":"Journal of Materials Chemistry C","DOI":"10.1039/C7TC03774K","ISSN":"2050-7534","issue":"42","journalAbbreviation":"J. Mater. Chem. C","language":"en","note":"publisher: The Royal Society of Chemistry","page":"10947-10954","source":"pubs.rsc.org","title":"Microwave-assisted synthesis of high-quality “all-inorganic” CsPbX3 (X = Cl, Br, I) perovskite nanocrystals and their application in light emitting diodes","volume":"5","author":[{"family":"Pan","given":"Qi"},{"family":"Hu","given":"Huicheng"},{"family":"Zou","given":"Yatao"},{"family":"Chen","given":"Min"},{"family":"Wu","given":"Linzhong"},{"family":"Yang","given":"Di"},{"family":"Yuan","given":"Xiaolei"},{"family":"Fan","given":"Jian"},{"family":"Sun","given":"Baoquan"},{"family":"Zhang","given":"Qiao"}],"issued":{"date-parts":[["2017",11,2]]}}}],"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[8,9]</w:t>
            </w:r>
            <w:r>
              <w:rPr>
                <w:rFonts w:ascii="Times New Roman" w:hAnsi="Times New Roman" w:cs="Times New Roman"/>
                <w:color w:val="212529"/>
              </w:rPr>
              <w:fldChar w:fldCharType="end"/>
            </w:r>
            <w:r>
              <w:rPr>
                <w:rFonts w:hint="eastAsia" w:ascii="Times New Roman" w:hAnsi="Times New Roman" w:cs="Times New Roman"/>
                <w:color w:val="212529"/>
              </w:rPr>
              <w:t>、固相合成法</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{"citationID":"YvxZCP7M","properties":{"formattedCitation":"\\super [10]\\nosupersub{}","plainCitation":"[10]","noteIndex":0},"citationItems":[{"id":1084,"uris":["http://zotero.org/users/10834060/items/YXEV5Z2A"],"itemData":{"id":1084,"type":"article-journal","abstract":"A facile and green mechanosynthesis strategy free of solvent and high reaction temperature was developed to fabricate highly emissive cesium lead halide perovskite (CsPbX3) quantum dots (QDs). Their composition can be adjusted conveniently simply through mechanically milling/grinding stoichiometric combinations of raw reagents, thereby introducing a broad luminescence tunability of the product with adjustable wavelength, line width, and photoluminescence quantum yield. Desired CsPbX3 QDs “library” can thus be readily constructed in a way like assembling Lego building blocks. Hence, the method offered new avenues in the preparation of multicomponent cocrystals, adding one appealing apparatus to the tool box of perovskite-type QDs synthesis. Intriguingly, photoinduced dynamic study revealed the hole-transfer process of the as-prepared QDs toward electron donors, indicative of their potential in charge-transfer-based applications such as light-harvesting devices and photocatalysis.","container-title":"The Journal of Physical Chemistry Letters","DOI":"10.1021/acs.jpclett.7b00431","issue":"7","journalAbbreviation":"J. Phys. Chem. Lett.","note":"publisher: American Chemical Society","page":"1610-1614","source":"ACS Publications","title":"Solvent-Free Mechanosynthesis of Composition-Tunable Cesium Lead Halide Perovskite Quantum Dots","volume":"8","author":[{"family":"Zhu","given":"Zhi-Yuan"},{"family":"Yang","given":"Qi-Qi"},{"family":"Gao","given":"Lin-Feng"},{"family":"Zhang","given":"Lei"},{"family":"Shi","given":"An-Ye"},{"family":"Sun","given":"Chun-Lin"},{"family":"Wang","given":"Qiang"},{"family":"Zhang","given":"Hao-Li"}],"issued":{"date-parts":[["2017",4,6]]}}}],"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[10]</w:t>
            </w:r>
            <w:r>
              <w:rPr>
                <w:rFonts w:ascii="Times New Roman" w:hAnsi="Times New Roman" w:cs="Times New Roman"/>
                <w:color w:val="212529"/>
              </w:rPr>
              <w:fldChar w:fldCharType="end"/>
            </w:r>
            <w:r>
              <w:rPr>
                <w:rFonts w:hint="eastAsia" w:ascii="Times New Roman" w:hAnsi="Times New Roman" w:cs="Times New Roman"/>
                <w:color w:val="212529"/>
              </w:rPr>
              <w:t>、超声合成</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{"citationID":"aDnfRo25","properties":{"formattedCitation":"\\super [11]\\nosupersub{}","plainCitation":"[11]","noteIndex":0},"citationItems":[{"id":1085,"uris":["http://zotero.org/users/10834060/items/HP6KTVNS"],"itemData":{"id":1085,"type":"article-journal","abstract":"We describe the simple, scalable, single-step, and polar-solvent-free synthesis of high-quality colloidal CsPbX3 (X=Cl, Br, and I) perovskite nanocrystals (NCs) with tunable halide ion composition and thickness by direct ultrasonication of the corresponding precursor solutions in the presence of organic capping molecules. High angle annular dark field scanning transmission electron microscopy (HAADF-STEM) revealed the cubic crystal structure and surface termination of the NCs with atomic resolution. The NCs exhibit high photoluminescence quantum yields, narrow emission line widths, and considerable air stability. Furthermore, we investigated the quantum size effects in CsPbBr3 and CsPbI3 nanoplatelets by tuning their thickness down to only three to six monolayers. The high quality of the prepared NCs (CsPbBr3) was confirmed by amplified spontaneous emission with low thresholds. The versatility of this synthesis approach was demonstrated by synthesizing different perovskite NCs.","container-title":"Angewandte Chemie International Edition","DOI":"10.1002/anie.201605909","ISSN":"1521-3773","issue":"44","language":"en","license":"© 2016 Wiley-VCH Verlag GmbH &amp; Co. KGaA, Weinheim","note":"_eprint: https://onlinelibrary.wiley.com/doi/pdf/10.1002/anie.201605909","page":"13887-13892","source":"Wiley Online Library","title":"Highly Luminescent Cesium Lead Halide Perovskite Nanocrystals with Tunable Composition and Thickness by Ultrasonication","volume":"55","author":[{"family":"Tong","given":"Yu"},{"family":"Bladt","given":"Eva"},{"family":"Aygüler","given":"Meltem F."},{"family":"Manzi","given":"Aurora"},{"family":"Milowska","given":"Karolina Z."},{"family":"Hintermayr","given":"Verena A."},{"family":"Docampo","given":"Pablo"},{"family":"Bals","given":"Sara"},{"family":"Urban","given":"Alexander S."},{"family":"Polavarapu","given":"Lakshminarayana"},{"family":"Feldmann","given":"Jochen"}],"issued":{"date-parts":[["2016"]]}}}],"schema":"https://github.com/citation-style-language/schema/raw/master/csl-citation.json"}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[11]</w:t>
            </w:r>
            <w:r>
              <w:rPr>
                <w:rFonts w:ascii="Times New Roman" w:hAnsi="Times New Roman" w:cs="Times New Roman"/>
                <w:color w:val="212529"/>
              </w:rPr>
              <w:fldChar w:fldCharType="end"/>
            </w:r>
            <w:r>
              <w:rPr>
                <w:rFonts w:hint="eastAsia" w:ascii="Times New Roman" w:hAnsi="Times New Roman" w:cs="Times New Roman"/>
                <w:color w:val="212529"/>
              </w:rPr>
              <w:t>等。热注入法是在惰性气氛下，将油酸铯在一定温度下（120~200</w:t>
            </w:r>
            <w:r>
              <w:rPr>
                <w:rFonts w:ascii="Times New Roman" w:hAnsi="Times New Roman" w:cs="Times New Roman"/>
                <w:color w:val="212529"/>
              </w:rPr>
              <w:t xml:space="preserve"> </w:t>
            </w:r>
            <w:r>
              <w:rPr>
                <w:rFonts w:hint="eastAsia" w:ascii="Times New Roman" w:hAnsi="Times New Roman" w:cs="Times New Roman"/>
                <w:color w:val="212529"/>
              </w:rPr>
              <w:t>℃）快速注入包含Pb</w:t>
            </w:r>
            <w:r>
              <w:rPr>
                <w:rFonts w:ascii="Times New Roman" w:hAnsi="Times New Roman" w:cs="Times New Roman"/>
                <w:color w:val="212529"/>
              </w:rPr>
              <w:t>X</w:t>
            </w:r>
            <w:r>
              <w:rPr>
                <w:rFonts w:ascii="Times New Roman" w:hAnsi="Times New Roman" w:cs="Times New Roman"/>
                <w:color w:val="212529"/>
                <w:vertAlign w:val="subscript"/>
              </w:rPr>
              <w:t>2</w:t>
            </w:r>
            <w:r>
              <w:rPr>
                <w:rFonts w:hint="eastAsia" w:ascii="Times New Roman" w:hAnsi="Times New Roman" w:cs="Times New Roman"/>
                <w:color w:val="212529"/>
              </w:rPr>
              <w:t>及一定量比例为1</w:t>
            </w:r>
            <w:r>
              <w:rPr>
                <w:rFonts w:ascii="Times New Roman" w:hAnsi="Times New Roman" w:cs="Times New Roman"/>
                <w:color w:val="212529"/>
              </w:rPr>
              <w:t>:1</w:t>
            </w:r>
            <w:r>
              <w:rPr>
                <w:rFonts w:hint="eastAsia" w:ascii="Times New Roman" w:hAnsi="Times New Roman" w:cs="Times New Roman"/>
                <w:color w:val="212529"/>
              </w:rPr>
              <w:t>的油酸（oleic</w:t>
            </w:r>
            <w:r>
              <w:rPr>
                <w:rFonts w:ascii="Times New Roman" w:hAnsi="Times New Roman" w:cs="Times New Roman"/>
                <w:color w:val="212529"/>
              </w:rPr>
              <w:t xml:space="preserve"> acid, OA</w:t>
            </w:r>
            <w:r>
              <w:rPr>
                <w:rFonts w:hint="eastAsia" w:ascii="Times New Roman" w:hAnsi="Times New Roman" w:cs="Times New Roman"/>
                <w:color w:val="212529"/>
              </w:rPr>
              <w:t>）、油胺（oleylamine</w:t>
            </w:r>
            <w:r>
              <w:rPr>
                <w:rFonts w:ascii="Times New Roman" w:hAnsi="Times New Roman" w:cs="Times New Roman"/>
                <w:color w:val="212529"/>
              </w:rPr>
              <w:t>, OAm</w:t>
            </w:r>
            <w:r>
              <w:rPr>
                <w:rFonts w:hint="eastAsia" w:ascii="Times New Roman" w:hAnsi="Times New Roman" w:cs="Times New Roman"/>
                <w:color w:val="212529"/>
              </w:rPr>
              <w:t>）、十八稀（o</w:t>
            </w:r>
            <w:r>
              <w:rPr>
                <w:rFonts w:ascii="Times New Roman" w:hAnsi="Times New Roman" w:cs="Times New Roman"/>
                <w:color w:val="212529"/>
              </w:rPr>
              <w:t>ctadecene, ODE</w:t>
            </w:r>
            <w:r>
              <w:rPr>
                <w:rFonts w:hint="eastAsia" w:ascii="Times New Roman" w:hAnsi="Times New Roman" w:cs="Times New Roman"/>
                <w:color w:val="212529"/>
              </w:rPr>
              <w:t>）分散系中，并在5-8s内迅速置于冰水浴中猝灭反应。由于热注入法合成的量子点尺寸均一、光电性能好且易于控制，是目前制备钙钛矿量子点最常用的方法之一</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{"citationID":"EVdHJzyN","properties":{"formattedCitation":"\\super [4]\\nosupersub{}","plainCitation":"[4]","noteIndex":0},"citationItems":[{"id":1070,"uris":["http://zotero.org/users/10834060/items/4AU2G4AS"],"itemData":{"id":1070,"type":"article-journal","abstract":"Solar cells and light-emitting diodes (LEDs) based on metal-halide perovskites are transitioning from promising performers to direct competitors to well-established technologies, with cost-effectiveness as a strong advantage. Nanostructured perovskites have yielded record LEDs due to their higher versatility in the local management of charge carriers, which has enabled photoluminescence quantum yields (PLQYs) close to 100%. However, these perovskite nanostructures are yet to be fully exploited in other applications such as photovoltaics, where they can also present competitive advantages as they enable feasible routes to surpass the Shockley–Queisser limit by means of multiexciton generation or hot-carrier extraction. Besides conventional applications, the extraordinary properties of these materials have the potential to unlock novel areas of research. Herein, the potential of perovskite nanostructures—with the focus on the widely developed nanoparticles—beyond classical thin-film optoelectronics is analyzed, their limits of application are discussed, and their real possibilities are pondered.","container-title":"Small Methods","DOI":"10.1002/smtd.201800231","ISSN":"2366-9608","issue":"1","language":"en","license":"© 2018 WILEY-VCH Verlag GmbH &amp; Co. KGaA, Weinheim","note":"_eprint: https://onlinelibrary.wiley.com/doi/pdf/10.1002/smtd.201800231","page":"1800231","source":"Wiley Online Library","title":"Perovskite Nanoparticles: Synthesis, Properties, and Novel Applications in Photovoltaics and LEDs","title-short":"Perovskite Nanoparticles","volume":"3","author":[{"family":"Kulkarni","given":"Sneha A."},{"family":"Mhaisalkar","given":"Subodh G."},{"family":"Mathews","given":"Nripan"},{"family":"Boix","given":"Pablo P."}],"issued":{"date-parts":[["2019"]]}}}],"schema":"https://github.com/citation-style-language/schema/raw/master/csl-citation.json"}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[4]</w:t>
            </w:r>
            <w:r>
              <w:rPr>
                <w:rFonts w:ascii="Times New Roman" w:hAnsi="Times New Roman" w:cs="Times New Roman"/>
                <w:color w:val="212529"/>
              </w:rPr>
              <w:fldChar w:fldCharType="end"/>
            </w:r>
            <w:r>
              <w:rPr>
                <w:rFonts w:hint="eastAsia" w:ascii="Times New Roman" w:hAnsi="Times New Roman" w:cs="Times New Roman"/>
                <w:color w:val="212529"/>
              </w:rPr>
              <w:t>。然而由于热注入法需要从较高温度迅速降低至常温以终止反应，合成条件较为苛刻，不易实现大量合成，而且由于是在高温下合成，调控形态和性质收到限制较大，这也限制了热注入法的发展。室温抗溶剂合成法是将Cs</w:t>
            </w:r>
            <w:r>
              <w:rPr>
                <w:rFonts w:ascii="Times New Roman" w:hAnsi="Times New Roman" w:cs="Times New Roman"/>
                <w:color w:val="212529"/>
              </w:rPr>
              <w:t>+</w:t>
            </w:r>
            <w:r>
              <w:rPr>
                <w:rFonts w:hint="eastAsia" w:ascii="Times New Roman" w:hAnsi="Times New Roman" w:cs="Times New Roman"/>
                <w:color w:val="212529"/>
              </w:rPr>
              <w:t>、Pb2+、X-等离子溶解在良性溶剂中，然后引入不良溶剂以沉淀出量子点。尽管在室温下合成的量子点不受惰性气体保护，但仍然表现出与高温热注入合成相媲美的光学性能，不过由于抗溶剂法想得到高质量的钙钛矿量子点需要大量的抗溶剂（体积比1：20以上），且抗溶剂一般是甲苯、氯苯等有毒溶剂，因此对抗溶剂的后处理也限制了该方法的大规模合成。模板辅助合成法是通过将钙钛矿前驱体溶液渗透到介孔二氧化硅的孔隙中，然后干燥以形成钙钛矿量子点，该方法可通过调整硅模板孔的大小来控制量子点的大小，且不需要使用大量表面配体来维持量子点的结构和光学性能，不过该方法合成的量子点不易从模板上分离，对后续的应用有一定的限制</w:t>
            </w:r>
            <w:r>
              <w:rPr>
                <w:rFonts w:ascii="Times New Roman" w:hAnsi="Times New Roman" w:cs="Times New Roman"/>
                <w:color w:val="212529"/>
              </w:rPr>
              <w:fldChar w:fldCharType="begin"/>
            </w:r>
            <w:r>
              <w:rPr>
                <w:rFonts w:ascii="Times New Roman" w:hAnsi="Times New Roman" w:cs="Times New Roman"/>
                <w:color w:val="212529"/>
              </w:rPr>
              <w:instrText xml:space="preserve"> ADDIN ZOTERO_ITEM CSL_CITATION {"citationID":"9cv5J64U","properties":{"formattedCitation":"\\super [7]\\nosupersub{}","plainCitation":"[7]","noteIndex":0},"citationItems":[{"id":1076,"uris":["http://zotero.org/users/10834060/items/ANCAC3EI"],"itemData":{"id":1076,"type":"article-journal","abstract":"Colloidal lead halide perovskite nanocrystals (NCs) have recently emerged as a novel class of bright emitters with pure colors spanning the entire visible spectral range. Contrary to conventional quantum dots, such as CdSe and InP NCs, perovskite NCs feature unusual, defect-tolerant photophysics. Specifically, surface dangling bonds and intrinsic point defects such as vacancies do not form midgap states, known to trap carriers and thereby quench photoluminescence (PL). Accordingly, perovskite NCs need not be electronically surface-passivated (with, for instance, ligands and wider-gap materials) and do not noticeably suffer from photo-oxidation. Novel opportunities for their preparation therefore can be envisaged. Herein, we show that the infiltration of perovskite precursor solutions into the pores of mesoporous silica, followed by drying, leads to the template-assisted formation of perovskite NCs. The most striking outcome of this simple methodology is very bright PL with quantum efficiencies exceeding 50%. This facile strategy can be applied to a large variety of perovskite compounds, hybrid and fully inorganic, with the general formula APbX3, where A is cesium (Cs), methylammonium (MA), or formamidinium (FA), and X is Cl, Br, I or a mixture thereof. The luminescent properties of the resulting templated NCs can be tuned by both quantum size effects as well as composition. Also exhibiting intrinsic haze due to scattering within the composite, such materials may find applications as replacements for conventional phosphors in liquid-crystal television display technologies and in related luminescence down-conversion-based devices.","container-title":"Nano Letters","DOI":"10.1021/acs.nanolett.6b02688","ISSN":"1530-6984","issue":"9","journalAbbreviation":"Nano Lett.","note":"publisher: American Chemical Society","page":"5866-5874","source":"ACS Publications","title":"Harnessing Defect-Tolerance at the Nanoscale: Highly Luminescent Lead Halide Perovskite Nanocrystals in Mesoporous Silica Matrixes","title-short":"Harnessing Defect-Tolerance at the Nanoscale","volume":"16","author":[{"family":"Dirin","given":"Dmitry N."},{"family":"Protesescu","given":"Loredana"},{"family":"Trummer","given":"David"},{"family":"Kochetygov","given":"Ilia V."},{"family":"Yakunin","given":"Sergii"},{"family":"Krumeich","given":"Frank"},{"family":"Stadie","given":"Nicholas P."},{"family":"Kovalenko","given":"Maksym V."}],"issued":{"date-parts":[["2016",9,14]]}}}],"schema":"https://github.com/citation-style-language/schema/raw/master/csl-citation.json"} </w:instrText>
            </w:r>
            <w:r>
              <w:rPr>
                <w:rFonts w:ascii="Times New Roman" w:hAnsi="Times New Roman" w:cs="Times New Roman"/>
                <w:color w:val="212529"/>
              </w:rPr>
              <w:fldChar w:fldCharType="separate"/>
            </w:r>
            <w:r>
              <w:rPr>
                <w:rFonts w:ascii="Times New Roman" w:hAnsi="Times New Roman" w:cs="Times New Roman"/>
                <w:vertAlign w:val="superscript"/>
              </w:rPr>
              <w:t>[7]</w:t>
            </w:r>
            <w:r>
              <w:rPr>
                <w:rFonts w:ascii="Times New Roman" w:hAnsi="Times New Roman" w:cs="Times New Roman"/>
                <w:color w:val="212529"/>
              </w:rPr>
              <w:fldChar w:fldCharType="end"/>
            </w:r>
            <w:r>
              <w:rPr>
                <w:rFonts w:hint="eastAsia" w:ascii="Times New Roman" w:hAnsi="Times New Roman" w:cs="Times New Roman"/>
                <w:color w:val="212529"/>
              </w:rPr>
              <w:t>。固相合成法与模板辅助合成法较为类似，而微波辅助合成法、超声合成法等需要条件较为极端，对于大规模合成难以实现，因此寻找新的方法合成高质量钙钛矿量子点是目前研究的重点。</w:t>
            </w:r>
          </w:p>
          <w:p>
            <w:pPr>
              <w:pStyle w:val="11"/>
              <w:shd w:val="clear" w:color="auto" w:fill="FFFFFF"/>
              <w:spacing w:before="0" w:beforeAutospacing="0" w:after="0" w:afterAutospacing="0" w:line="300" w:lineRule="auto"/>
              <w:ind w:firstLine="480" w:firstLineChars="200"/>
              <w:rPr>
                <w:rFonts w:hint="eastAsia" w:ascii="Times New Roman" w:hAnsi="Times New Roman" w:cs="Times New Roman"/>
                <w:color w:val="212529"/>
              </w:rPr>
            </w:pPr>
            <w:r>
              <w:rPr>
                <w:rFonts w:hint="eastAsia" w:ascii="Times New Roman" w:hAnsi="Times New Roman" w:cs="Times New Roman"/>
                <w:color w:val="212529"/>
                <w:shd w:val="clear" w:color="auto" w:fill="FFFFFF"/>
              </w:rPr>
              <w:t>在钙钛矿量子点的合成中，除了合成方法外，</w:t>
            </w:r>
            <w:r>
              <w:rPr>
                <w:rFonts w:ascii="Times New Roman" w:hAnsi="Times New Roman" w:cs="Times New Roman"/>
                <w:color w:val="212529"/>
                <w:shd w:val="clear" w:color="auto" w:fill="FFFFFF"/>
              </w:rPr>
              <w:t>钝化剂分子的功能设计</w:t>
            </w:r>
            <w:r>
              <w:rPr>
                <w:rFonts w:hint="eastAsia" w:ascii="Times New Roman" w:hAnsi="Times New Roman" w:cs="Times New Roman"/>
                <w:color w:val="212529"/>
                <w:shd w:val="clear" w:color="auto" w:fill="FFFFFF"/>
              </w:rPr>
              <w:t>也</w:t>
            </w:r>
            <w:r>
              <w:rPr>
                <w:rFonts w:ascii="Times New Roman" w:hAnsi="Times New Roman" w:cs="Times New Roman"/>
                <w:color w:val="212529"/>
                <w:shd w:val="clear" w:color="auto" w:fill="FFFFFF"/>
              </w:rPr>
              <w:t>是实现</w:t>
            </w:r>
            <w:r>
              <w:rPr>
                <w:rFonts w:hint="eastAsia" w:ascii="Times New Roman" w:hAnsi="Times New Roman" w:cs="Times New Roman"/>
                <w:color w:val="212529"/>
                <w:shd w:val="clear" w:color="auto" w:fill="FFFFFF"/>
              </w:rPr>
              <w:t>制备高性能钙钛矿量子点</w:t>
            </w:r>
            <w:r>
              <w:rPr>
                <w:rFonts w:ascii="Times New Roman" w:hAnsi="Times New Roman" w:cs="Times New Roman"/>
                <w:color w:val="212529"/>
                <w:shd w:val="clear" w:color="auto" w:fill="FFFFFF"/>
              </w:rPr>
              <w:t>的关键策略之一</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{"citationID":"BvSOW4dG","properties":{"formattedCitation":"\\super [12]\\nosupersub{}","plainCitation":"[12]","noteIndex":0},"citationItems":[{"id":1091,"uris":["http://zotero.org/users/10834060/items/X3JQT5VK"],"itemData":{"id":1091,"type":"article-journal","container-title":"Chemistry of Materials","DOI":"10.1021/acs.chemmater.7b02669","ISSN":"0897-4756","issue":"17","journalAbbreviation":"Chem. Mater.","note":"publisher: American Chemical Society","page":"7088-7092","source":"ACS Publications","title":"Highly Stable Cesium Lead Halide Perovskite Nanocrystals through in Situ Lead Halide Inorganic Passivation","volume":"29","author":[{"family":"Woo","given":"Ju Young"},{"family":"Kim","given":"Youngsik"},{"family":"Bae","given":"Jungmin"},{"family":"Kim","given":"Tae Gun"},{"family":"Kim","given":"Jeong Won"},{"family":"Lee","given":"Doh C."},{"family":"Jeong","given":"Sohee"}],"issued":{"date-parts":[["2017",9,12]]}}}],"schema":"https://github.com/citation-style-language/schema/raw/master/csl-citation.json"}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[12]</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。从另一方面来说，量子点的稳定性和发光性能在很大程度上受到表面配体的影响。表面配体通过与量子点表面的金属阳离子或卤素阴离子形成化学键，实现表面钝化，减少表面缺陷态。这种钝化作用能够</w:t>
            </w:r>
            <w:r>
              <w:rPr>
                <w:rFonts w:ascii="Times New Roman" w:hAnsi="Times New Roman" w:cs="Times New Roman"/>
                <w:color w:val="212529"/>
                <w:shd w:val="clear" w:color="auto" w:fill="FFFFFF"/>
              </w:rPr>
              <w:t>在钙钛矿量子点表面形成保护层，有效隔绝外界环境中的水分子和氧气，从而抑制量子点的降解</w:t>
            </w:r>
            <w:r>
              <w:rPr>
                <w:rFonts w:hint="eastAsia" w:ascii="Times New Roman" w:hAnsi="Times New Roman" w:cs="Times New Roman"/>
                <w:color w:val="212529"/>
                <w:shd w:val="clear" w:color="auto" w:fill="FFFFFF"/>
              </w:rPr>
              <w:t>，降低非辐射复合速率，提高量子点的PLQY。同时，合适的配体能够提供足够的空间位阻效应，防止量子点之间的团聚和沉降，有效提高量子点的稳定性。</w:t>
            </w:r>
            <w:r>
              <w:rPr>
                <w:rFonts w:ascii="Times New Roman" w:hAnsi="Times New Roman" w:cs="Times New Roman"/>
                <w:color w:val="212529"/>
                <w:shd w:val="clear" w:color="auto" w:fill="FFFFFF"/>
              </w:rPr>
              <w:t>此外，钝化剂分子还可以作为模板或导向剂，调控量子点的成核速率和晶体生长方向，实现对量子点尺寸、形状及晶相的精确控制。</w:t>
            </w:r>
            <w:r>
              <w:rPr>
                <w:rFonts w:hint="eastAsia" w:ascii="Times New Roman" w:hAnsi="Times New Roman" w:cs="Times New Roman"/>
                <w:color w:val="212529"/>
                <w:shd w:val="clear" w:color="auto" w:fill="FFFFFF"/>
              </w:rPr>
              <w:t>钙钛矿量子点的钝化已被广泛研究，大致可分为有机钝化和无机钝化两大类，有机钝化顾名思义，是采用具有某些官能团的有机分子处理钙钛矿量子点，如碘化苯胺、本以及卤代铵盐、双十二烷基二甲基卤代铵盐等，部分或完全取代O</w:t>
            </w:r>
            <w:r>
              <w:rPr>
                <w:rFonts w:ascii="Times New Roman" w:hAnsi="Times New Roman" w:cs="Times New Roman"/>
                <w:color w:val="212529"/>
                <w:shd w:val="clear" w:color="auto" w:fill="FFFFFF"/>
              </w:rPr>
              <w:t>A</w:t>
            </w:r>
            <w:r>
              <w:rPr>
                <w:rFonts w:hint="eastAsia" w:ascii="Times New Roman" w:hAnsi="Times New Roman" w:cs="Times New Roman"/>
                <w:color w:val="212529"/>
                <w:shd w:val="clear" w:color="auto" w:fill="FFFFFF"/>
              </w:rPr>
              <w:t>、O</w:t>
            </w:r>
            <w:r>
              <w:rPr>
                <w:rFonts w:ascii="Times New Roman" w:hAnsi="Times New Roman" w:cs="Times New Roman"/>
                <w:color w:val="212529"/>
                <w:shd w:val="clear" w:color="auto" w:fill="FFFFFF"/>
              </w:rPr>
              <w:t>A</w:t>
            </w:r>
            <w:r>
              <w:rPr>
                <w:rFonts w:hint="eastAsia" w:ascii="Times New Roman" w:hAnsi="Times New Roman" w:cs="Times New Roman"/>
                <w:color w:val="212529"/>
                <w:shd w:val="clear" w:color="auto" w:fill="FFFFFF"/>
              </w:rPr>
              <w:t>m，以实现对量子点的钝化和提高性能</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{"citationID":"3lyDuHlH","properties":{"formattedCitation":"\\super [13\\uc0\\u8211{}15]\\nosupersub{}","plainCitation":"[13–15]","noteIndex":0},"citationItems":[{"id":1094,"uris":["http://zotero.org/users/10834060/items/8DDBRHGP"],"itemData":{"id":1094,"type":"article-journal","abstract":"Perovskite quantum dots have significant potential for light-emitting devices because of their high colour purity and colour tunability in the visible spectrum. Here, we report highly efficient red perovskite quantum dot-based light-emitting devices. The quantum dots were fabricated by anion exchange from pristine CsPbBr3 using halide-anion-containing alkyl ammonium and aryl ammonium salts. Anion-exchange quantum dots based on ammonium iodine salts exhibited a strong redshift from green emission to a deep-red emission at 649 nm as well as higher photoluminescence quantum yields. Furthermore, the quantum dot-based light-emitting device with the alkyl ammonium iodine salt exhibited an external quantum efficiency of 21.3% and high colour purity, with Commission Internationale de l’Eclairage coordinates of (0.72, 0.28), while the light-emitting device with the aryl ammonium iodine salt showed an external quantum efficiency of 14.1%. Finally, the operational stability of the latter was 36 times higher because the surface ligand density of the corresponding quantum dots was lower.","container-title":"Nature Photonics","DOI":"10.1038/s41566-018-0260-y","ISSN":"1749-4893","issue":"11","journalAbbreviation":"Nature Photon","language":"en","license":"2018 The Author(s), under exclusive licence to Springer Nature Limited","note":"publisher: Nature Publishing Group","page":"681-687","source":"www.nature.com","title":"Anion-exchange red perovskite quantum dots with ammonium iodine salts for highly efficient light-emitting devices","volume":"12","author":[{"family":"Chiba","given":"Takayuki"},{"family":"Hayashi","given":"Yukihiro"},{"family":"Ebe","given":"Hinako"},{"family":"Hoshi","given":"Keigo"},{"family":"Sato","given":"Jun"},{"family":"Sato","given":"Shugo"},{"family":"Pu","given":"Yong-Jin"},{"family":"Ohisa","given":"Satoru"},{"family":"Kido","given":"Junji"}],"issued":{"date-parts":[["2018",11]]}}},{"id":1096,"uris":["http://zotero.org/users/10834060/items/E7VS5ZF6"],"itemData":{"id":1096,"type":"article-journal","abstract":"Although halide perovskite nanocrystals (NCs) are promising materials for optoelectronic devices, they suffer severely from chemical and phase instabilities. Moreover, the common capping ligands like oleic acid and oleylamine that encapsulate the NCs will form an insulating layer, precluding their utility in optoelectronic devices. To overcome these limitations, we develop a postsynthesis passivation process for CsPbI3 NCs</w:instrText>
            </w:r>
            <w:r>
              <w:rPr>
                <w:rFonts w:hint="eastAsia" w:ascii="Times New Roman" w:hAnsi="Times New Roman" w:cs="Times New Roman"/>
                <w:color w:val="212529"/>
                <w:shd w:val="clear" w:color="auto" w:fill="FFFFFF"/>
              </w:rPr>
              <w:instrText xml:space="preserve"> by using a bidentate ligand, namely 2,2′-iminodibenzoic acid. Our passivated NCs exhibit narrow red photoluminescence with exceptional quantum yield (close to unity) and substantially improved stability. The passivated NCs enabled us to realize red light</w:instrText>
            </w:r>
            <w:r>
              <w:rPr>
                <w:rFonts w:ascii="Times New Roman" w:hAnsi="Times New Roman" w:cs="Times New Roman"/>
                <w:color w:val="212529"/>
                <w:shd w:val="clear" w:color="auto" w:fill="FFFFFF"/>
              </w:rPr>
              <w:instrText xml:space="preserve">-emitting diodes (LEDs) with 5.02% external quantum efficiency and 748 cd/m2 luminance, surpassing by far LEDs made from the nonpassivated NCs.","container-title":"Journal of the American Chemical Society","DOI":"10.1021/jacs.7b10647","ISSN":"0002-7863","issue":"2","journalAbbreviation":"J. Am. Chem. Soc.","note":"publisher: American Chemical Society","page":"562-565","source":"ACS Publications","title":"Bidentate Ligand-Passivated CsPbI3 Perovskite Nanocrystals for Stable Near-Unity Photoluminescence Quantum Yield and Efficient Red Light-Emitting Diodes","volume":"140","author":[{"family":"Pan","given":"Jun"},{"family":"Shang","given":"Yuequn"},{"family":"Yin","given":"Jun"},{"family":"De Bastiani","given":"Michele"},{"family":"Peng","given":"Wei"},{"family":"Dursun","given":"Ibrahim"},{"family":"Sinatra","given":"Lutfan"},{"family":"El-Zohry","given":"Ahmed M."},{"family":"Hedhili","given":"Mohamed N."},{"family":"Emwas","given":"Abdul-Hamid"},{"family":"Mohammed","given":"Omar F."},{"family":"Ning","given":"Zhijun"},{"family":"Bakr","given":"Osman M."}],"issued":{"date-parts":[["2018",1,17]]}}},{"id":1098,"uris":["http://zotero.org/users/10834060/items/FAF7GF9S"],"itemData":{"id":1098,"type":"article-journal","abstract":"Despite the great potential of all-inorganic CsPbX3 (X = Br or I) quantum dots (QDs) for light-emitting diodes (QLEDs), their emission properties have been impeded by the long insulating ligands on the QD surface. To address the problem, an efficient surface ligand engineering method has been executed by using a short conjugation molecular ligand phenethylamine (PEA) as ligands to synthesize CsPbX3 QDs and then treating the CsPbX3 QD films with phenethylammonium bromide (PEABr) or phenethylammonium iodide (PEAI). The results indicate that the short conjugation molecular ligand is successfully adsorbed on the surface of CsPbX3 QDs to instead long insulating ligands, resulting in the remarkable enhancement of the carrier injection and transport. The incorporation of phenethylamine (PEA) as synthetic ligand causes the fewer trap states in both CsPbBr3 and CsPbI3 QDs, exhibiting the near-unity photoluminescence quantum yields (PLQYs) of 93% and 95%, respectively. The luminance of CsPbBr3 and CsPbI3 QLEDs could be improved to 21470 and 1444 cd m–2, respectively, when the long insulating ligands were further replaced with conjugation molecular ligands. Particularly, the external quantum efficiency (EQE) of CsPbI3 QLEDs reaches 14.08%, which is among the highest efficiency of red perovskite LEDs.","container-title":"Chemistry of Materials","DOI":"10.1021/acs.chemmater.8b02544","ISSN":"0897-4756","issue":"17","journalAbbreviation":"Chem. Mater.","note":"publisher: American Chemical Society","page":"6099-6107","source":"ACS Publications","title":"Surface Ligand Engineering for Near-Unity Quantum Yield Inorganic Halide Perovskite QDs and High-Performance QLEDs","volume":"30","author":[{"family":"Li","given":"Guopeng"},{"family":"Huang","given":"Jingsheng"},{"family":"Zhu","given":"Hanwen"},{"family":"Li","given":"Yanqing"},{"family":"Tang","given":"Jian-Xin"},{"family":"Jiang","given":"Yang"}],"issued":{"date-parts":[["2018",9,11]]}}}],"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[13–15]</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。无机配体用于合成和随后的交换，在溶液中提供胶体稳定性，不过这些表面配体是不稳定的，表现出有限的较弱的表面亲和力，只有在溶液中过量存在时才提高较高的表面覆盖</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{"citationID":"mDGXnRLn","properties":{"formattedCitation":"\\super [16,17]\\nosupersub{}","plainCitation":"[16,17]","noteIndex":0},"citationItems":[{"id":1100,"uris":["http://zotero.org/users/10834060/items/4WWK7EV2"],"itemData":{"id":1100,"type":"article-journal","abstract":"Cesium lead halide (CsPbX3) nanocrystals have emerged as a new family of materials that can outperform the existing semiconductor nanocrystals due to their superb optical and charge-transport properties. However, the lack of a robust method for producing quantum dots with controlled size and high ensemble uniformity has been one of the major obstacles in exploring the useful properties of excitons in zero-dimensional nanostructures of CsPbX3. Here, we report a new synthesis approach that enables the precise control of the size based on the equilibrium rather than kinetics, producing CsPbX3 quantum dots nearly free of heterogeneous broadening in their exciton luminescence. The high level of size control and ensemble uniformity achieved here will open the door to harnessing the benefits of excitons in CsPbX3 quantum dots for photonic and energy-harvesting applications.","container-title":"Nano Letters","DOI":"10.1021/acs.nanolett.8b00861","ISSN":"1530-6984","issue":"6","journalAbbreviation":"Nano Lett.","note":"publisher: American Chemical Society","page":"3716-3722","source":"ACS Publications","title":"Precise Control of Quantum Confinement in Cesium Lead Halide Perovskite Quantum Dots via Thermodynamic Equilibrium","volume":"18","author":[{"family":"Dong","given":"Yitong"},{"family":"Qiao","given":"Tian"},{"family":"Kim","given":"Doyun"},{"family":"Parobek","given":"David"},{"family":"Rossi","given":"Daniel"},{"family":"Son","given":"Dong Hee"}],"issued":{"date-parts":[["2018",6,13]]}}},{"id":1102,"uris":["http://zotero.org/users/10834060/items/CBTNM6WL"],"itemData":{"id":1102,"type":"article-journal","abstract":"The presence of surface ligands not only plays a key role in keeping the colloidal integrity and non-defective surface of metal halide perovskite quantum dots (PQDs), but also serves as a knob to tune their optoelectronic properties for a variety of exciting applications including solar cells and light-emitting diodes. However, these indispensable surface ligands may also deteriorate the stability and key properties of PQDs due to their highly dynamic binding and insulating nature. To address these issues, a number of innovative surface chemistry engineering approaches have been developed in the past few years. Based on an in-depth fundamental understanding of the surface atomistic structure and surface defect formation mechanism in the tiny nanoparticles, a critical overview focusing on the surface chemistry engineering of PQDs including advanced colloidal synthesis, in-situ surface passivation, and solution-phase/solid-state ligand exchange is presented, after which their unprecedented achievements in photovoltaics and other optoelectronics are presented. The practical hurdles and future directions are critically discussed to inspire more rational design of PQD surface chemistry toward practical applications.","container-title":"Advanced Materials","DOI":"10.1002/adma.202105958","ISSN":"1521-4095","issue":"4","language":"en","license":"© 2021 Wiley-VCH GmbH","note":"_eprint: https://onlinelibrary.wiley.com/doi/pdf/10.1002/adma.202105958","page":"2105958","source":"Wiley Online Library","title":"Surface Chemistry Engineering of Perovskite Quantum Dots: Strategies, Applications, and Perspectives","title-short":"Surface Chemistry Engineering of Perovskite Quantum Dots","volume":"34","author":[{"family":"Bai","given":"Yang"},{"family":"Hao","given":"Mengmeng"},{"family":"Ding","given":"Shanshan"},{"family":"Chen","given":"Peng"},{"family":"Wang","given":"Lianzhou"}],"issued":{"date-parts":[["2022"]]}}}],"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[16,17]</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。常见的无机配体如碘化钾、溴化锌</w:t>
            </w:r>
            <w:r>
              <w:rPr>
                <w:rFonts w:ascii="Times New Roman" w:hAnsi="Times New Roman" w:cs="Times New Roman"/>
                <w:color w:val="212529"/>
                <w:shd w:val="clear" w:color="auto" w:fill="FFFFFF"/>
              </w:rPr>
              <w:t xml:space="preserve"> </w:t>
            </w:r>
            <w:r>
              <w:rPr>
                <w:rFonts w:hint="eastAsia" w:ascii="Times New Roman" w:hAnsi="Times New Roman" w:cs="Times New Roman"/>
                <w:color w:val="212529"/>
                <w:shd w:val="clear" w:color="auto" w:fill="FFFFFF"/>
              </w:rPr>
              <w:t>、硫氢化铵等在合成过程中主要是提供丰富的卤源以提高钙钛矿量子点的P</w:t>
            </w:r>
            <w:r>
              <w:rPr>
                <w:rFonts w:ascii="Times New Roman" w:hAnsi="Times New Roman" w:cs="Times New Roman"/>
                <w:color w:val="212529"/>
                <w:shd w:val="clear" w:color="auto" w:fill="FFFFFF"/>
              </w:rPr>
              <w:t>LQY</w:t>
            </w:r>
            <w:r>
              <w:rPr>
                <w:rFonts w:hint="eastAsia" w:ascii="Times New Roman" w:hAnsi="Times New Roman" w:cs="Times New Roman"/>
                <w:color w:val="212529"/>
                <w:shd w:val="clear" w:color="auto" w:fill="FFFFFF"/>
              </w:rPr>
              <w:t>和</w:t>
            </w:r>
            <w:r>
              <w:rPr>
                <w:rFonts w:ascii="Times New Roman" w:hAnsi="Times New Roman" w:cs="Times New Roman"/>
                <w:color w:val="212529"/>
                <w:shd w:val="clear" w:color="auto" w:fill="FFFFFF"/>
              </w:rPr>
              <w:t>PL</w:t>
            </w:r>
            <w:r>
              <w:rPr>
                <w:rFonts w:hint="eastAsia" w:ascii="Times New Roman" w:hAnsi="Times New Roman" w:cs="Times New Roman"/>
                <w:color w:val="212529"/>
                <w:shd w:val="clear" w:color="auto" w:fill="FFFFFF"/>
              </w:rPr>
              <w:t>等光学性能</w:t>
            </w:r>
            <w:r>
              <w:rPr>
                <w:rFonts w:ascii="Times New Roman" w:hAnsi="Times New Roman" w:cs="Times New Roman"/>
                <w:color w:val="212529"/>
                <w:shd w:val="clear" w:color="auto" w:fill="FFFFFF"/>
              </w:rPr>
              <w:fldChar w:fldCharType="begin"/>
            </w:r>
            <w:r>
              <w:rPr>
                <w:rFonts w:ascii="Times New Roman" w:hAnsi="Times New Roman" w:cs="Times New Roman"/>
                <w:color w:val="212529"/>
                <w:shd w:val="clear" w:color="auto" w:fill="FFFFFF"/>
              </w:rPr>
              <w:instrText xml:space="preserve"> ADDIN ZOTERO_ITEM CSL_CITATION {"citationID":"skHTVOJN","properties":{"formattedCitation":"\\super [18\\uc0\\u8211{}20]\\nosupersub{}","plainCitation":"[18–20]","noteIndex":0},"citationItems":[{"id":1103,"uris":["http://zotero.org/users/10834060/items/3GEC4SWQ"],"itemData":{"id":1103,"type":"article-journal","abstract":"Lead halide perovskite nanocrystals (NCs) as a promising material have been widely applied in optoelectronic devices, but the massive defects reduce their optical properties and consequently limit the device performance. In this work, we developed a method to reduce the surface defects caused by unbonded lead on the surface of NCs by introducing ammonium thiocyanate in the synthesis of CsPbI3 NCs. Thiocyanate ions can link to the unbonded lead on the surface of perovskite NCs, resulting in a prolonged lifetime and enhanced photoluminescence quantum yield. At the same time, the whole energy level of passivated CsPbI3 NC films goes down compared to the pristine CsPbI3 NC films, which contributes to better electron injection. As a result, the passivated NCs based light-emitting diodes (LEDs) realized 10.3% external quantum efficiency and 823 cd m–2 luminance, higher than the LEDs made from the non-passivated NCs.","container-title":"The Journal of Physical Chemistry C","DOI":"10.1021/acs.jpcc.9b06144","ISSN":"1932-7447","issue":"37","journalAbbreviation":"J. Phys. Chem. C","note":"publisher: American Chemical Society","page":"22787-22792","source":"ACS Publications","title":"Ammonium Thiocyanate-Passivated CsPbI3 Perovskite Nanocrystals for Efficient Red Light-Emitting Diodes","volume":"123","author":[{"family":"Lu","given":"Min"},{"family":"Guo","given":"Jie"},{"family":"Lu","given":"Po"},{"family":"Zhang","given":"Liu"},{"family":"Zhang","given":"Ying"},{"family":"Dai","given":"Qilin"},{"family":"Hu","given":"Yue"},{"family":"Colvin","given":"Vicki L."},{"family":"Yu","given":"William W."}],"issued":{"date-parts":[["2019",9,19]]}}},{"id":1104,"uris":["http://zotero.org/users/10834060/items/W65EDU83"],"itemData":{"id":1104,"type":"article-journal","abstract":"Abstract Instability in mixed-halide perovskites (MHPs) is a key issue limiting perovskite solar cells and light-emitting diodes (LEDs). One form of instability arises during the processing of MHP quantum dots using an antisolvent to precipitate and purify the dots forming surface traps that lead to decreased luminescence, compromised colloidal stability, and emission broadening. Here, the introduction of inorganic ligands in the antisolvents used in dot purification is reported in order to overcome this problem. MHPs that are colloidally stable for over 1 year at 25 °C and 40% humidity are demonstrated and films that are stable under 100 W cm?2 photoirradiation, 4? longer than the best previously reported MHPs, are reported. In LEDs, the materials enable an EQE of 24.4% (average 22.5 ± 1.3%) and narrow emission (full-width at half maximum of 30 nm). Sixfold-enhanced operating stability relative to the most stable prior red perovskite LEDs having external quantum efficiency &gt;20% is reported.","container-title":"Advanced Materials","DOI":"10.1002/adma.202200854","ISSN":"0935-9648","issue":"21","note":"publisher: John Wiley &amp; Sons, Ltd","page":"2200854","source":"onlinelibrary.wiley.com (Atypon)","title":"In Situ Inorganic Ligand Replenishment Enables Bandgap Stability in Mixed-Halide Perovskite Quantum Dot Solids","volume":"34","author":[{"family":"Wang","given":"Ya-Kun"},{"family":"Singh","given":"Kamalpreet"},{"family":"Li","given":"Jiao-Yang"},{"family":"Dong","given":"Yitong"},{"family":"Wang","given":"Xue-Qi"},{"family":"Pina","given":"Joao M."},{"family":"Yu","given":"You-Jun"},{"family":"Sabatini","given":"Randy"},{"family":"Liu","given":"Yang"},{"family":"Ma","given":"Dongxin"},{"family":"Liu","given":"Jun"},{"family":"Liu","given":"Zeke"},{"family":"Gao","given":"Yiyuan"},{"family":"Voznyy","given":"Oleksandr"},{"family":"Ma","given":"Wanli"},{"family":"Fung","given":"Man-Keung"},{"family":"Liao","given":"Liang-Sheng"},{"family":"Sargent","given":"Edward H."}],"issued":{"date-parts":[["2022",5]]}}},{"id":1038,"uris":["http://zotero.org/users/10834060/items/WMBGRY4R"],"itemData":{"id":1038,"type":"article-journal","abstract":"Colloidal quantum dot (QD) solids are emerging semiconductors that have been actively explored in fundamental studies of charge transport1 and for applications in optoelectronics2. Forming high-quality QD solids—necessary for device fabrication—requires substitution of the long organic ligands used for synthesis with short ligands that provide increased QD coupling and improved charge transport3. However, in perovskite QDs, the polar solvents used to carry out the ligand exchange decompose the highly ionic perovskites4. Here we report perovskite QD resurfacing to achieve a bipolar shell consisting of an inner anion shell, and an outer shell comprised of cations and polar solvent molecules. The outer shell is electrostatically adsorbed to the negatively charged inner shell. This approach produces strongly confined perovskite QD solids that feature improved carrier mobility (</w:instrText>
            </w:r>
            <w:r>
              <w:rPr>
                <w:rFonts w:hint="eastAsia" w:ascii="Times New Roman" w:hAnsi="Times New Roman" w:cs="Times New Roman"/>
                <w:color w:val="212529"/>
                <w:shd w:val="clear" w:color="auto" w:fill="FFFFFF"/>
              </w:rPr>
              <w:instrText xml:space="preserve">≥</w:instrText>
            </w:r>
            <w:r>
              <w:rPr>
                <w:rFonts w:ascii="Times New Roman" w:hAnsi="Times New Roman" w:cs="Times New Roman"/>
                <w:color w:val="212529"/>
                <w:shd w:val="clear" w:color="auto" w:fill="FFFFFF"/>
              </w:rPr>
              <w:instrText xml:space="preserve">0.01 cm2 V−1 s−1) and reduced trap density relative to previously reported low-dimensional perovskites. Blue-emitting QD films exhibit photoluminescence quantum yields exceeding 90%. By exploiting the improved mobility, we have been able to fabricate CsPbBr3 QD-based efficient blue and green light-emitting diodes. Blue devices with reduced trap density have an external quantum efficiency of 12.3%; the green devices achieve an external quantum efficiency of 22%.","container-title":"Nature Nanotechnology","DOI":"10.1038/s41565-020-0714-5","ISSN":"1748-3395","issue":"8","journalAbbreviation":"Nat. Nanotechnol.","language":"en","license":"2020 The Author(s), under exclusive licence to Springer Nature Limited","note":"publisher: Nature Publishing Group","page":"668-674","source":"www.nature.com","title":"Bipolar-shell resurfacing for blue LEDs based on strongly confined perovskite quantum dots","volume":"15","author":[{"family":"Dong","given":"Yitong"},{"family":"Wang","given":"Ya-Kun"},{"family":"Yuan","given":"Fanglong"},{"family":"Johnston","given":"Andrew"},{"family":"Liu","given":"Yuan"},{"family":"Ma","given":"Dongxin"},{"family":"Choi","given":"Min-Jae"},{"family":"Chen","given":"Bin"},{"family":"Chekini","given":"Mahshid"},{"family":"Baek","given":"Se-Woong"},{"family":"Sagar","given":"Laxmi Kishore"},{"family":"Fan","given":"James"},{"family":"Hou","given":"Yi"},{"family":"Wu","given":"Mingjian"},{"family":"Lee","given":"Seungjin"},{"family":"Sun","given":"Bin"},{"family":"Hoogland","given":"Sjoerd"},{"family":"Quintero-Bermudez","given":"Rafael"},{"family":"Ebe","given":"Hinako"},{"family":"Todorovic","given":"Petar"},{"family":"Dinic","given":"Filip"},{"family":"Li","given":"Peicheng"},{"family":"Kung","given":"Hao Ting"},{"family":"Saidaminov","given":"Makhsud I."},{"family":"Kumacheva","given":"Eugenia"},{"family":"Spiecker","given":"Erdmann"},{"family":"Liao","given":"Liang-Sheng"},{"family":"Voznyy","given":"Oleksandr"},{"family":"Lu","given":"Zheng-Hong"},{"family":"Sargent","given":"Edward H."}],"issued":{"date-parts":[["2020",8]]}}}],"schema":"https://github.com/citation-style-language/schema/raw/master/csl-citation.json"} </w:instrText>
            </w:r>
            <w:r>
              <w:rPr>
                <w:rFonts w:ascii="Times New Roman" w:hAnsi="Times New Roman" w:cs="Times New Roman"/>
                <w:color w:val="212529"/>
                <w:shd w:val="clear" w:color="auto" w:fill="FFFFFF"/>
              </w:rPr>
              <w:fldChar w:fldCharType="separate"/>
            </w:r>
            <w:r>
              <w:rPr>
                <w:rFonts w:ascii="Times New Roman" w:hAnsi="Times New Roman" w:cs="Times New Roman"/>
                <w:vertAlign w:val="superscript"/>
              </w:rPr>
              <w:t>[18–20]</w:t>
            </w:r>
            <w:r>
              <w:rPr>
                <w:rFonts w:ascii="Times New Roman" w:hAnsi="Times New Roman" w:cs="Times New Roman"/>
                <w:color w:val="212529"/>
                <w:shd w:val="clear" w:color="auto" w:fill="FFFFFF"/>
              </w:rPr>
              <w:fldChar w:fldCharType="end"/>
            </w:r>
            <w:r>
              <w:rPr>
                <w:rFonts w:hint="eastAsia" w:ascii="Times New Roman" w:hAnsi="Times New Roman" w:cs="Times New Roman"/>
                <w:color w:val="212529"/>
                <w:shd w:val="clear" w:color="auto" w:fill="FFFFFF"/>
              </w:rPr>
              <w:t>。</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rPr>
            </w:pPr>
            <w:r>
              <w:rPr>
                <w:rFonts w:ascii="Times New Roman" w:hAnsi="Times New Roman" w:cs="Times New Roman"/>
                <w:color w:val="212529"/>
                <w:shd w:val="clear" w:color="auto" w:fill="FFFFFF"/>
              </w:rPr>
              <w:t>近年来，随着超分子化学和材料科学的交叉融合，钝化剂分子的设计已从简单的表面修饰发展到多功能一体化阶段。例如，通过引入具有特定功能的基团（如亲水性、疏水性、电荷性等），可以赋予钝化剂分子更多的调控能力，使其在不同应用场景下表现出优异的适应性和性能。同时，结合计算化学和分子模拟技术，研究者能够在原子层面上深入理解钝化剂分子与钙钛矿量子点之间的相互作用机制，为实验设计提供理论指导。</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rPr>
            </w:pPr>
            <w:r>
              <w:rPr>
                <w:rFonts w:ascii="Times New Roman" w:hAnsi="Times New Roman" w:cs="Times New Roman"/>
                <w:color w:val="212529"/>
                <w:shd w:val="clear" w:color="auto" w:fill="FFFFFF"/>
              </w:rPr>
              <w:t>综上所述，钝化剂分子功能设计及其在调控钙钛矿量子点成核与结晶动力学方面的研究，不仅有助于解决钙钛矿量子点的稳定性问题，还将推动其在合成方法方面的应用和发展。这一领域的深入研究将为未来纳米材料的设计与大规模合成提供新的思路和方法。</w:t>
            </w:r>
          </w:p>
          <w:p>
            <w:pPr>
              <w:spacing w:line="300" w:lineRule="auto"/>
              <w:rPr>
                <w:b/>
                <w:bCs/>
                <w:sz w:val="24"/>
              </w:rPr>
            </w:pPr>
            <w:r>
              <w:rPr>
                <w:b/>
                <w:bCs/>
                <w:sz w:val="24"/>
              </w:rPr>
              <w:t>（</w:t>
            </w:r>
            <w:r>
              <w:rPr>
                <w:rFonts w:hint="eastAsia"/>
                <w:b/>
                <w:bCs/>
                <w:sz w:val="24"/>
              </w:rPr>
              <w:t>三</w:t>
            </w:r>
            <w:r>
              <w:rPr>
                <w:b/>
                <w:bCs/>
                <w:sz w:val="24"/>
              </w:rPr>
              <w:t>）</w:t>
            </w:r>
            <w:r>
              <w:rPr>
                <w:rFonts w:hint="eastAsia"/>
                <w:b/>
                <w:bCs/>
                <w:sz w:val="24"/>
              </w:rPr>
              <w:t>前期准备工作</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针对本工作，前期进行了充分的文献调研，并完成以下准备工作：</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（1）初步了解钙钛矿量子点钝化剂分子设计的研究背景和现状；</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（2）初步学习钙钛矿量子点不同合成方法，了解现有合成方法的优点和不足之处；</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（3）重点了解钝化剂分子对钙钛矿量子点的影响机理，为钝化剂分子的设计提供基础和参考；</w:t>
            </w:r>
          </w:p>
          <w:p>
            <w:pPr>
              <w:pStyle w:val="11"/>
              <w:shd w:val="clear" w:color="auto" w:fill="FFFFFF"/>
              <w:spacing w:before="0" w:beforeAutospacing="0" w:after="0" w:afterAutospacing="0" w:line="300" w:lineRule="auto"/>
              <w:ind w:firstLine="480" w:firstLineChars="200"/>
              <w:rPr>
                <w:rFonts w:ascii="Times New Roman" w:hAnsi="Times New Roman" w:cs="Times New Roman"/>
                <w:color w:val="212529"/>
                <w:shd w:val="clear" w:color="auto" w:fill="FFFFFF"/>
              </w:rPr>
            </w:pPr>
            <w:r>
              <w:rPr>
                <w:rFonts w:hint="eastAsia" w:ascii="Times New Roman" w:hAnsi="Times New Roman" w:cs="Times New Roman"/>
                <w:color w:val="212529"/>
                <w:shd w:val="clear" w:color="auto" w:fill="FFFFFF"/>
              </w:rPr>
              <w:t>（4）学习构建实验分析方法和产物表征手段。</w:t>
            </w:r>
          </w:p>
          <w:p>
            <w:pPr>
              <w:spacing w:line="300" w:lineRule="auto"/>
              <w:rPr>
                <w:b/>
                <w:bCs/>
                <w:sz w:val="24"/>
              </w:rPr>
            </w:pPr>
            <w:r>
              <w:rPr>
                <w:b/>
                <w:bCs/>
                <w:sz w:val="24"/>
              </w:rPr>
              <w:t>（</w:t>
            </w:r>
            <w:r>
              <w:rPr>
                <w:rFonts w:hint="eastAsia"/>
                <w:b/>
                <w:bCs/>
                <w:sz w:val="24"/>
              </w:rPr>
              <w:t>四</w:t>
            </w:r>
            <w:r>
              <w:rPr>
                <w:b/>
                <w:bCs/>
                <w:sz w:val="24"/>
              </w:rPr>
              <w:t>）</w:t>
            </w:r>
            <w:r>
              <w:rPr>
                <w:rFonts w:hint="eastAsia"/>
                <w:b/>
                <w:bCs/>
                <w:sz w:val="24"/>
              </w:rPr>
              <w:t>参考文献</w:t>
            </w:r>
          </w:p>
          <w:p>
            <w:pPr>
              <w:pStyle w:val="25"/>
              <w:rPr>
                <w:sz w:val="24"/>
              </w:rPr>
            </w:pPr>
            <w:r>
              <w:rPr>
                <w:color w:val="212529"/>
                <w:shd w:val="clear" w:color="auto" w:fill="FFFFFF"/>
              </w:rPr>
              <w:fldChar w:fldCharType="begin"/>
            </w:r>
            <w:r>
              <w:rPr>
                <w:color w:val="212529"/>
                <w:shd w:val="clear" w:color="auto" w:fill="FFFFFF"/>
              </w:rPr>
              <w:instrText xml:space="preserve"> ADDIN ZOTERO_BIBL {"uncited":[],"omitted":[],"custom":[]} CSL_BIBLIOGRAPHY </w:instrText>
            </w:r>
            <w:r>
              <w:rPr>
                <w:color w:val="212529"/>
                <w:shd w:val="clear" w:color="auto" w:fill="FFFFFF"/>
              </w:rPr>
              <w:fldChar w:fldCharType="separate"/>
            </w:r>
            <w:r>
              <w:rPr>
                <w:sz w:val="24"/>
              </w:rPr>
              <w:t>[1]</w:t>
            </w:r>
            <w:r>
              <w:rPr>
                <w:sz w:val="24"/>
              </w:rPr>
              <w:tab/>
            </w:r>
            <w:r>
              <w:rPr>
                <w:sz w:val="24"/>
              </w:rPr>
              <w:t>LUO D, CHEN Q, QIU Y, et al. Device Engineering for All-Inorganic Perovskite Light-Emitting Diodes[J]. Nanomaterials, 2019, 9(7): 1007.</w:t>
            </w:r>
          </w:p>
          <w:p>
            <w:pPr>
              <w:pStyle w:val="25"/>
              <w:rPr>
                <w:sz w:val="24"/>
              </w:rPr>
            </w:pPr>
            <w:r>
              <w:rPr>
                <w:sz w:val="24"/>
              </w:rPr>
              <w:t>[2]</w:t>
            </w:r>
            <w:r>
              <w:rPr>
                <w:sz w:val="24"/>
              </w:rPr>
              <w:tab/>
            </w:r>
            <w:r>
              <w:rPr>
                <w:sz w:val="24"/>
              </w:rPr>
              <w:t xml:space="preserve">PARK M H, KIM J S, HEO J M, et al. Boosting Efficiency in Polycrystalline Metal Halide Perovskite Light-Emitting Diodes[J]. ACS Energy Letters, 2019, 4(5): 1134-1149. </w:t>
            </w:r>
          </w:p>
          <w:p>
            <w:pPr>
              <w:pStyle w:val="25"/>
              <w:rPr>
                <w:sz w:val="24"/>
              </w:rPr>
            </w:pPr>
            <w:r>
              <w:rPr>
                <w:sz w:val="24"/>
              </w:rPr>
              <w:t>[3]</w:t>
            </w:r>
            <w:r>
              <w:rPr>
                <w:sz w:val="24"/>
              </w:rPr>
              <w:tab/>
            </w:r>
            <w:r>
              <w:rPr>
                <w:sz w:val="24"/>
              </w:rPr>
              <w:t>YAN F, DEMIR H V. LEDs using halide perovskite nanocrystal emitters[J]. Nanoscale, 2019, 11(24): 11402-11412.</w:t>
            </w:r>
          </w:p>
          <w:p>
            <w:pPr>
              <w:pStyle w:val="25"/>
              <w:rPr>
                <w:sz w:val="24"/>
              </w:rPr>
            </w:pPr>
            <w:r>
              <w:rPr>
                <w:sz w:val="24"/>
              </w:rPr>
              <w:t>[4]</w:t>
            </w:r>
            <w:r>
              <w:rPr>
                <w:sz w:val="24"/>
              </w:rPr>
              <w:tab/>
            </w:r>
            <w:r>
              <w:rPr>
                <w:sz w:val="24"/>
              </w:rPr>
              <w:t>KULKARNI S A, MHAISALKAR S G, MATHEWS N, et al. Perovskite Nanoparticles: Synthesis, Properties, and Novel Applications in Photovoltaics and LEDs[J]. Small Methods, 2019, 3(1): 1800231.</w:t>
            </w:r>
          </w:p>
          <w:p>
            <w:pPr>
              <w:pStyle w:val="25"/>
              <w:rPr>
                <w:sz w:val="24"/>
              </w:rPr>
            </w:pPr>
            <w:r>
              <w:rPr>
                <w:sz w:val="24"/>
              </w:rPr>
              <w:t>[5]</w:t>
            </w:r>
            <w:r>
              <w:rPr>
                <w:sz w:val="24"/>
              </w:rPr>
              <w:tab/>
            </w:r>
            <w:r>
              <w:rPr>
                <w:sz w:val="24"/>
              </w:rPr>
              <w:t>VELDHUIS S A, NG Y F, AHMAD R, et al. Crown Ethers Enable Room-Temperature Synthesis of CsPbBr3 Quantum Dots for Light-Emitting Diodes[J]. ACS Energy Letters, 2018, 3(3): 526-531.</w:t>
            </w:r>
          </w:p>
          <w:p>
            <w:pPr>
              <w:pStyle w:val="25"/>
              <w:rPr>
                <w:sz w:val="24"/>
              </w:rPr>
            </w:pPr>
            <w:r>
              <w:rPr>
                <w:sz w:val="24"/>
              </w:rPr>
              <w:t>[6]</w:t>
            </w:r>
            <w:r>
              <w:rPr>
                <w:sz w:val="24"/>
              </w:rPr>
              <w:tab/>
            </w:r>
            <w:r>
              <w:rPr>
                <w:sz w:val="24"/>
              </w:rPr>
              <w:t>LIU M, MATUHINA A, ZHANG H, et al. Advances in the Stability of Halide Perovskite Nanocrystals[J]. Materials, 2019, 12(22): 3733.</w:t>
            </w:r>
          </w:p>
          <w:p>
            <w:pPr>
              <w:pStyle w:val="25"/>
              <w:rPr>
                <w:sz w:val="24"/>
              </w:rPr>
            </w:pPr>
            <w:r>
              <w:rPr>
                <w:sz w:val="24"/>
              </w:rPr>
              <w:t>[7]</w:t>
            </w:r>
            <w:r>
              <w:rPr>
                <w:sz w:val="24"/>
              </w:rPr>
              <w:tab/>
            </w:r>
            <w:r>
              <w:rPr>
                <w:sz w:val="24"/>
              </w:rPr>
              <w:t xml:space="preserve">DIRIN D N, PROTESESCU L, TRUMMER D, et al. Harnessing Defect-Tolerance at the Nanoscale: Highly Luminescent Lead Halide Perovskite Nanocrystals in Mesoporous Silica Matrixes[J]. Nano Letters, 2016, 16(9): 5866-5874. </w:t>
            </w:r>
          </w:p>
          <w:p>
            <w:pPr>
              <w:pStyle w:val="25"/>
              <w:rPr>
                <w:sz w:val="24"/>
              </w:rPr>
            </w:pPr>
            <w:r>
              <w:rPr>
                <w:sz w:val="24"/>
              </w:rPr>
              <w:t>[8]</w:t>
            </w:r>
            <w:r>
              <w:rPr>
                <w:sz w:val="24"/>
              </w:rPr>
              <w:tab/>
            </w:r>
            <w:r>
              <w:rPr>
                <w:sz w:val="24"/>
              </w:rPr>
              <w:t>LONG Z, REN H, SUN J, et al. High-throughput and tunable synthesis of colloidal CsPbX3 perovskite nanocrystals in a heterogeneous system by microwave irradiation[J]. Chemical Communications, 2017, 53(71): 9914-9917.</w:t>
            </w:r>
          </w:p>
          <w:p>
            <w:pPr>
              <w:pStyle w:val="25"/>
              <w:rPr>
                <w:sz w:val="24"/>
              </w:rPr>
            </w:pPr>
            <w:r>
              <w:rPr>
                <w:sz w:val="24"/>
              </w:rPr>
              <w:t>[9]</w:t>
            </w:r>
            <w:r>
              <w:rPr>
                <w:sz w:val="24"/>
              </w:rPr>
              <w:tab/>
            </w:r>
            <w:r>
              <w:rPr>
                <w:sz w:val="24"/>
              </w:rPr>
              <w:t xml:space="preserve">PAN Q, HU H, ZOU Y, et al. Microwave-assisted synthesis of high-quality “all-inorganic” CsPbX3 (X = Cl, Br, I) perovskite nanocrystals and their application in light emitting diodes[J]. Journal of Materials Chemistry C, 2017, 5(42): 10947-10954. </w:t>
            </w:r>
          </w:p>
          <w:p>
            <w:pPr>
              <w:pStyle w:val="25"/>
              <w:rPr>
                <w:sz w:val="24"/>
              </w:rPr>
            </w:pPr>
            <w:r>
              <w:rPr>
                <w:sz w:val="24"/>
              </w:rPr>
              <w:t>[10]</w:t>
            </w:r>
            <w:r>
              <w:rPr>
                <w:sz w:val="24"/>
              </w:rPr>
              <w:tab/>
            </w:r>
            <w:r>
              <w:rPr>
                <w:sz w:val="24"/>
              </w:rPr>
              <w:t>ZHU Z Y, YANG Q Q, GAO L F, et al. Solvent-Free Mechanosynthesis of Composition-Tunable Cesium Lead Halide Perovskite Quantum Dots[J]. The Journal of Physical Chemistry Letters, 2017, 8(7): 1610-1614.</w:t>
            </w:r>
          </w:p>
          <w:p>
            <w:pPr>
              <w:pStyle w:val="25"/>
              <w:rPr>
                <w:sz w:val="24"/>
              </w:rPr>
            </w:pPr>
            <w:r>
              <w:rPr>
                <w:sz w:val="24"/>
              </w:rPr>
              <w:t>[11]</w:t>
            </w:r>
            <w:r>
              <w:rPr>
                <w:sz w:val="24"/>
              </w:rPr>
              <w:tab/>
            </w:r>
            <w:r>
              <w:rPr>
                <w:sz w:val="24"/>
              </w:rPr>
              <w:t xml:space="preserve">TONG Y, BLADT E, AYGÜLER M F, et al. Highly Luminescent Cesium Lead Halide Perovskite Nanocrystals with Tunable Composition and Thickness by Ultrasonication[J]. Angewandte Chemie International Edition, 2016, 55(44): 13887-13892. </w:t>
            </w:r>
          </w:p>
          <w:p>
            <w:pPr>
              <w:pStyle w:val="25"/>
              <w:rPr>
                <w:sz w:val="24"/>
              </w:rPr>
            </w:pPr>
            <w:r>
              <w:rPr>
                <w:sz w:val="24"/>
              </w:rPr>
              <w:t>[12]</w:t>
            </w:r>
            <w:r>
              <w:rPr>
                <w:sz w:val="24"/>
              </w:rPr>
              <w:tab/>
            </w:r>
            <w:r>
              <w:rPr>
                <w:sz w:val="24"/>
              </w:rPr>
              <w:t>WOO J Y, KIM Y, BAE J, et al. Highly Stable Cesium Lead Halide Perovskite Nanocrystals through in Situ Lead Halide Inorganic Passivation[J]. Chemistry of Materials, 2017, 29(17): 7088-7092.</w:t>
            </w:r>
          </w:p>
          <w:p>
            <w:pPr>
              <w:pStyle w:val="25"/>
              <w:rPr>
                <w:sz w:val="24"/>
              </w:rPr>
            </w:pPr>
            <w:r>
              <w:rPr>
                <w:sz w:val="24"/>
              </w:rPr>
              <w:t>[13]</w:t>
            </w:r>
            <w:r>
              <w:rPr>
                <w:sz w:val="24"/>
              </w:rPr>
              <w:tab/>
            </w:r>
            <w:r>
              <w:rPr>
                <w:sz w:val="24"/>
              </w:rPr>
              <w:t>CHIBA T, HAYASHI Y, EBE H, et al. Anion-exchange red perovskite quantum dots with ammonium iodine salts for highly efficient light-emitting devices[J]. Nature Photonics, 2018, 12(11): 681-687.</w:t>
            </w:r>
          </w:p>
          <w:p>
            <w:pPr>
              <w:pStyle w:val="25"/>
              <w:rPr>
                <w:sz w:val="24"/>
              </w:rPr>
            </w:pPr>
            <w:r>
              <w:rPr>
                <w:sz w:val="24"/>
              </w:rPr>
              <w:t>[14]</w:t>
            </w:r>
            <w:r>
              <w:rPr>
                <w:sz w:val="24"/>
              </w:rPr>
              <w:tab/>
            </w:r>
            <w:r>
              <w:rPr>
                <w:sz w:val="24"/>
              </w:rPr>
              <w:t>PAN J, SHANG Y, YIN J, et al. Bidentate Ligand-Passivated CsPbI3 Perovskite Nanocrystals for Stable Near-Unity Photoluminescence Quantum Yield and Efficient Red Light-Emitting Diodes[J]. Journal of the American Chemical Society, 2018, 140(2): 562-565.</w:t>
            </w:r>
          </w:p>
          <w:p>
            <w:pPr>
              <w:pStyle w:val="25"/>
              <w:rPr>
                <w:sz w:val="24"/>
              </w:rPr>
            </w:pPr>
            <w:r>
              <w:rPr>
                <w:sz w:val="24"/>
              </w:rPr>
              <w:t>[15]</w:t>
            </w:r>
            <w:r>
              <w:rPr>
                <w:sz w:val="24"/>
              </w:rPr>
              <w:tab/>
            </w:r>
            <w:r>
              <w:rPr>
                <w:sz w:val="24"/>
              </w:rPr>
              <w:t>LI G, HUANG J, ZHU H, et al. Surface Ligand Engineering for Near-Unity Quantum Yield Inorganic Halide Perovskite QDs and High-Performance QLEDs[J]. Chemistry of Materials, 2018, 30(17): 6099-6107.</w:t>
            </w:r>
          </w:p>
          <w:p>
            <w:pPr>
              <w:pStyle w:val="25"/>
              <w:rPr>
                <w:rFonts w:hint="eastAsia"/>
                <w:sz w:val="24"/>
              </w:rPr>
            </w:pPr>
            <w:r>
              <w:rPr>
                <w:sz w:val="24"/>
              </w:rPr>
              <w:t>[16]</w:t>
            </w:r>
            <w:r>
              <w:rPr>
                <w:sz w:val="24"/>
              </w:rPr>
              <w:tab/>
            </w:r>
            <w:r>
              <w:rPr>
                <w:sz w:val="24"/>
              </w:rPr>
              <w:t>DONG Y, QIAO T, KIM D, et al. Precise Control of Quantum Confinement in Cesium Lead Halide Perovskite Quantum Dots via Thermodynamic Equilibrium[J]. Nano Letters, 2018, 18(6): 3716-3722</w:t>
            </w:r>
            <w:r>
              <w:rPr>
                <w:rFonts w:hint="eastAsia"/>
                <w:sz w:val="24"/>
              </w:rPr>
              <w:t>.</w:t>
            </w:r>
          </w:p>
          <w:p>
            <w:pPr>
              <w:pStyle w:val="25"/>
              <w:rPr>
                <w:sz w:val="24"/>
              </w:rPr>
            </w:pPr>
            <w:r>
              <w:rPr>
                <w:sz w:val="24"/>
              </w:rPr>
              <w:t>[17]</w:t>
            </w:r>
            <w:r>
              <w:rPr>
                <w:sz w:val="24"/>
              </w:rPr>
              <w:tab/>
            </w:r>
            <w:r>
              <w:rPr>
                <w:sz w:val="24"/>
              </w:rPr>
              <w:t>BAI Y, HAO M, DING S, et al. Surface Chemistry Engineering of Perovskite Quantum Dots: Strategies, Applications, and Perspectives[J]. Advanced Materials, 2022, 34(4): 2105958.</w:t>
            </w:r>
          </w:p>
          <w:p>
            <w:pPr>
              <w:pStyle w:val="25"/>
              <w:rPr>
                <w:sz w:val="24"/>
              </w:rPr>
            </w:pPr>
            <w:r>
              <w:rPr>
                <w:sz w:val="24"/>
              </w:rPr>
              <w:t>[18]</w:t>
            </w:r>
            <w:r>
              <w:rPr>
                <w:sz w:val="24"/>
              </w:rPr>
              <w:tab/>
            </w:r>
            <w:r>
              <w:rPr>
                <w:sz w:val="24"/>
              </w:rPr>
              <w:t>LU M, GUO J, LU P, et al. Ammonium Thiocyanate-Passivated CsPbI3 Perovskite Nanocrystals for Efficient Red Light-Emitting Diodes[J]. The Journal of Physical Chemistry C, 2019, 123(37): 22787-22792.</w:t>
            </w:r>
          </w:p>
          <w:p>
            <w:pPr>
              <w:pStyle w:val="25"/>
              <w:rPr>
                <w:sz w:val="24"/>
              </w:rPr>
            </w:pPr>
            <w:r>
              <w:rPr>
                <w:sz w:val="24"/>
              </w:rPr>
              <w:t>[19]</w:t>
            </w:r>
            <w:r>
              <w:rPr>
                <w:sz w:val="24"/>
              </w:rPr>
              <w:tab/>
            </w:r>
            <w:r>
              <w:rPr>
                <w:sz w:val="24"/>
              </w:rPr>
              <w:t>WANG Y K, SINGH K, LI J Y, et al. In Situ Inorganic Ligand Replenishment Enables Bandgap Stability in Mixed-Halide Perovskite Quantum Dot Solids[J]. Advanced Materials, 2022, 34(21): 2200854.</w:t>
            </w:r>
          </w:p>
          <w:p>
            <w:pPr>
              <w:pStyle w:val="25"/>
              <w:rPr>
                <w:sz w:val="24"/>
              </w:rPr>
            </w:pPr>
            <w:r>
              <w:rPr>
                <w:sz w:val="24"/>
              </w:rPr>
              <w:t>[20]</w:t>
            </w:r>
            <w:r>
              <w:rPr>
                <w:sz w:val="24"/>
              </w:rPr>
              <w:tab/>
            </w:r>
            <w:r>
              <w:rPr>
                <w:sz w:val="24"/>
              </w:rPr>
              <w:t>DONG Y, WANG Y K, YUAN F, et al. Bipolar-shell resurfacing for blue LEDs based on strongly confined perovskite quantum dots[J]. Nature Nanotechnology, 2020, 15(8): 668-674.</w:t>
            </w:r>
          </w:p>
          <w:p>
            <w:pPr>
              <w:pStyle w:val="11"/>
              <w:shd w:val="clear" w:color="auto" w:fill="FFFFFF"/>
              <w:spacing w:before="0" w:beforeAutospacing="0" w:after="0" w:afterAutospacing="0" w:line="300" w:lineRule="auto"/>
              <w:ind w:firstLine="480" w:firstLineChars="200"/>
            </w:pPr>
            <w:r>
              <w:rPr>
                <w:rFonts w:ascii="Times New Roman" w:hAnsi="Times New Roman" w:cs="Times New Roman"/>
                <w:color w:val="212529"/>
                <w:shd w:val="clear" w:color="auto"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81" w:type="dxa"/>
            <w:vMerge w:val="restart"/>
            <w:vAlign w:val="center"/>
          </w:tcPr>
          <w:p>
            <w:pPr>
              <w:rPr>
                <w:rFonts w:hint="eastAsia"/>
                <w:b/>
                <w:sz w:val="24"/>
              </w:rPr>
            </w:pPr>
            <w:r>
              <w:rPr>
                <w:rFonts w:hint="eastAsia"/>
                <w:sz w:val="22"/>
                <w:szCs w:val="22"/>
              </w:rPr>
              <w:tab/>
            </w:r>
            <w:r>
              <w:rPr>
                <w:rFonts w:hint="eastAsia"/>
                <w:b/>
                <w:sz w:val="24"/>
              </w:rPr>
              <w:t>项</w:t>
            </w:r>
          </w:p>
          <w:p>
            <w:pPr>
              <w:rPr>
                <w:rFonts w:hint="eastAsia"/>
                <w:b/>
                <w:sz w:val="24"/>
              </w:rPr>
            </w:pPr>
            <w:r>
              <w:rPr>
                <w:rFonts w:hint="eastAsia"/>
                <w:b/>
                <w:sz w:val="24"/>
              </w:rPr>
              <w:t>目</w:t>
            </w:r>
          </w:p>
          <w:p>
            <w:pPr>
              <w:rPr>
                <w:rFonts w:hint="eastAsia"/>
                <w:b/>
                <w:sz w:val="24"/>
              </w:rPr>
            </w:pPr>
            <w:r>
              <w:rPr>
                <w:rFonts w:hint="eastAsia"/>
                <w:b/>
                <w:sz w:val="24"/>
              </w:rPr>
              <w:t>申请理由</w:t>
            </w:r>
          </w:p>
        </w:tc>
        <w:tc>
          <w:tcPr>
            <w:tcW w:w="9458" w:type="dxa"/>
            <w:tcBorders>
              <w:bottom w:val="nil"/>
            </w:tcBorders>
          </w:tcPr>
          <w:p>
            <w:pPr>
              <w:spacing w:line="300" w:lineRule="auto"/>
              <w:rPr>
                <w:rFonts w:eastAsia="仿宋_GB2312"/>
                <w:sz w:val="24"/>
              </w:rPr>
            </w:pPr>
            <w:r>
              <w:rPr>
                <w:rFonts w:eastAsia="仿宋_GB2312"/>
                <w:sz w:val="24"/>
              </w:rPr>
              <w:t>（项目团队成员具备的知识基础、能力素养、兴趣特长和已参加的科研等条件）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4" w:hRule="atLeast"/>
          <w:jc w:val="center"/>
        </w:trPr>
        <w:tc>
          <w:tcPr>
            <w:tcW w:w="481" w:type="dxa"/>
            <w:vMerge w:val="continue"/>
            <w:vAlign w:val="center"/>
          </w:tcPr>
          <w:p>
            <w:pPr>
              <w:rPr>
                <w:rFonts w:hint="eastAsia"/>
                <w:sz w:val="22"/>
                <w:szCs w:val="22"/>
              </w:rPr>
            </w:pPr>
          </w:p>
        </w:tc>
        <w:tc>
          <w:tcPr>
            <w:tcW w:w="9458" w:type="dxa"/>
            <w:tcBorders>
              <w:top w:val="nil"/>
            </w:tcBorders>
          </w:tcPr>
          <w:p>
            <w:pPr>
              <w:spacing w:line="300" w:lineRule="auto"/>
              <w:ind w:firstLine="482" w:firstLineChars="200"/>
              <w:rPr>
                <w:rFonts w:hint="eastAsia"/>
                <w:sz w:val="24"/>
              </w:rPr>
            </w:pPr>
            <w:r>
              <w:rPr>
                <w:rFonts w:hint="eastAsia"/>
                <w:b/>
                <w:bCs/>
                <w:sz w:val="24"/>
              </w:rPr>
              <w:t>焦逸涵</w:t>
            </w:r>
            <w:r>
              <w:rPr>
                <w:rFonts w:hint="eastAsia"/>
                <w:sz w:val="24"/>
              </w:rPr>
              <w:t>，男，项目负责人，化工与工程管理专业。学习成绩优秀，在专业中名列前茅，曾多次担任小组任务组长，有着良好的协调能力，统筹安排能力，做事认真负责，同时对科学钻研有兴趣与热情。</w:t>
            </w:r>
          </w:p>
          <w:p>
            <w:pPr>
              <w:spacing w:line="300" w:lineRule="auto"/>
              <w:ind w:firstLine="482" w:firstLineChars="200"/>
              <w:rPr>
                <w:rFonts w:hint="eastAsia"/>
                <w:sz w:val="24"/>
              </w:rPr>
            </w:pPr>
            <w:r>
              <w:rPr>
                <w:rFonts w:hint="eastAsia"/>
                <w:b/>
                <w:bCs/>
                <w:sz w:val="24"/>
              </w:rPr>
              <w:t>张宇轩</w:t>
            </w:r>
            <w:r>
              <w:rPr>
                <w:rFonts w:hint="eastAsia"/>
                <w:sz w:val="24"/>
              </w:rPr>
              <w:t>，男，项目成员，化工与工程管理专业。学习和组织能力强，成绩优异，多次作为发言人上台，条理清晰，思路明确，具有较强的个人表达能力，综合能力全面发展 。</w:t>
            </w:r>
          </w:p>
          <w:p>
            <w:pPr>
              <w:spacing w:line="300" w:lineRule="auto"/>
              <w:ind w:firstLine="482" w:firstLineChars="200"/>
              <w:rPr>
                <w:rFonts w:hint="eastAsia"/>
                <w:sz w:val="24"/>
              </w:rPr>
            </w:pPr>
            <w:r>
              <w:rPr>
                <w:rFonts w:hint="eastAsia"/>
                <w:b/>
                <w:bCs/>
                <w:sz w:val="24"/>
              </w:rPr>
              <w:t>张禹涵</w:t>
            </w:r>
            <w:r>
              <w:rPr>
                <w:rFonts w:hint="eastAsia"/>
                <w:sz w:val="24"/>
              </w:rPr>
              <w:t>，男，项目成员，化工与工程管理专业。自主学习能力强，做事细心认真，具有较好的团队合作能力，和不断进取不轻言放弃的精神。</w:t>
            </w:r>
          </w:p>
          <w:p>
            <w:pPr>
              <w:spacing w:line="300" w:lineRule="auto"/>
              <w:ind w:firstLine="482" w:firstLineChars="200"/>
              <w:rPr>
                <w:sz w:val="24"/>
              </w:rPr>
            </w:pPr>
            <w:r>
              <w:rPr>
                <w:rFonts w:hint="eastAsia"/>
                <w:b/>
                <w:bCs/>
                <w:sz w:val="24"/>
              </w:rPr>
              <w:t>曲健硕</w:t>
            </w:r>
            <w:r>
              <w:rPr>
                <w:rFonts w:hint="eastAsia"/>
                <w:sz w:val="24"/>
              </w:rPr>
              <w:t>，男，项目成员，化工与工程管理专业。善于思考，有着学习化学的热情，同时对化学有自己独特的见解，喜欢研究化学问题，对自己不懂的虚心求教，善于从多角度去思考问题，做事严谨。</w:t>
            </w:r>
          </w:p>
          <w:p>
            <w:pPr>
              <w:spacing w:line="300" w:lineRule="auto"/>
              <w:ind w:firstLine="480" w:firstLineChars="200"/>
              <w:rPr>
                <w:sz w:val="24"/>
              </w:rPr>
            </w:pPr>
            <w:r>
              <w:rPr>
                <w:sz w:val="24"/>
              </w:rPr>
              <w:t>我们团队成员均来自化工专业，系统学习了无机化学，有机化学等相关课程，具备扎实的化工专业理论基础。团队中成员的无机化学成绩良好，同时我们的团队成员在实验操作、数据处理、科研写作等方面具备较高的能力素养。在过去的学习中，我们积极参与了许多化学实验，锻炼了实验技能和科研思维。我们团队成员具备良好的团队合作精神和沟通能力，能够与他人共同完成研究项目，并进行有效的学术交流。他们注重团队协作，能够充分发挥各自的优势，共同推动项目的进展。同时我们团队的成员对于化工领域都充满兴趣，能将自己所学运用到实际实验中，促进项目的进行。</w:t>
            </w:r>
          </w:p>
        </w:tc>
      </w:tr>
    </w:tbl>
    <w:p>
      <w:pPr>
        <w:spacing w:before="312" w:beforeLines="100" w:after="156" w:afterLines="50"/>
        <w:ind w:right="-512" w:rightChars="-244"/>
        <w:rPr>
          <w:rFonts w:hint="eastAsia"/>
          <w:b/>
          <w:sz w:val="32"/>
          <w:szCs w:val="32"/>
        </w:rPr>
      </w:pPr>
      <w:r>
        <w:rPr>
          <w:b/>
          <w:sz w:val="32"/>
          <w:szCs w:val="32"/>
        </w:rPr>
        <w:br w:type="page"/>
      </w:r>
      <w:r>
        <w:rPr>
          <w:rFonts w:hint="eastAsia"/>
          <w:b/>
          <w:sz w:val="32"/>
          <w:szCs w:val="32"/>
        </w:rPr>
        <w:t>三、项目研究内容</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81" w:type="dxa"/>
            <w:vMerge w:val="restart"/>
            <w:vAlign w:val="center"/>
          </w:tcPr>
          <w:p>
            <w:pPr>
              <w:rPr>
                <w:rFonts w:hint="eastAsia"/>
                <w:b/>
                <w:sz w:val="24"/>
              </w:rPr>
            </w:pPr>
            <w:r>
              <w:rPr>
                <w:rFonts w:hint="eastAsia"/>
                <w:b/>
                <w:sz w:val="24"/>
                <w:szCs w:val="22"/>
              </w:rPr>
              <w:t>项目研究的主要内容及目标</w:t>
            </w:r>
          </w:p>
        </w:tc>
        <w:tc>
          <w:tcPr>
            <w:tcW w:w="9458" w:type="dxa"/>
            <w:tcBorders>
              <w:bottom w:val="nil"/>
            </w:tcBorders>
          </w:tcPr>
          <w:p>
            <w:pPr>
              <w:spacing w:line="300" w:lineRule="auto"/>
              <w:rPr>
                <w:rFonts w:hint="eastAsia" w:ascii="仿宋_GB2312" w:hAnsi="宋体" w:eastAsia="仿宋_GB2312"/>
                <w:sz w:val="24"/>
              </w:rPr>
            </w:pPr>
            <w:r>
              <w:rPr>
                <w:rFonts w:hint="eastAsia" w:ascii="仿宋_GB2312" w:hAnsi="宋体" w:eastAsia="仿宋_GB2312"/>
                <w:sz w:val="24"/>
              </w:rPr>
              <w:t>（主要研究内容，重点和难点，研究思路和方法等）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6" w:hRule="atLeast"/>
          <w:jc w:val="center"/>
        </w:trPr>
        <w:tc>
          <w:tcPr>
            <w:tcW w:w="481" w:type="dxa"/>
            <w:vMerge w:val="continue"/>
            <w:vAlign w:val="center"/>
          </w:tcPr>
          <w:p>
            <w:pPr>
              <w:rPr>
                <w:rFonts w:hint="eastAsia"/>
                <w:b/>
                <w:sz w:val="24"/>
                <w:szCs w:val="22"/>
              </w:rPr>
            </w:pPr>
          </w:p>
        </w:tc>
        <w:tc>
          <w:tcPr>
            <w:tcW w:w="9458" w:type="dxa"/>
            <w:tcBorders>
              <w:top w:val="nil"/>
            </w:tcBorders>
          </w:tcPr>
          <w:p>
            <w:pPr>
              <w:spacing w:line="300" w:lineRule="auto"/>
              <w:ind w:firstLine="482" w:firstLineChars="200"/>
              <w:rPr>
                <w:b/>
                <w:bCs/>
                <w:sz w:val="24"/>
              </w:rPr>
            </w:pPr>
            <w:r>
              <w:rPr>
                <w:b/>
                <w:bCs/>
                <w:sz w:val="24"/>
              </w:rPr>
              <w:t>（</w:t>
            </w:r>
            <w:r>
              <w:rPr>
                <w:rFonts w:hint="eastAsia"/>
                <w:b/>
                <w:bCs/>
                <w:sz w:val="24"/>
              </w:rPr>
              <w:t>一</w:t>
            </w:r>
            <w:r>
              <w:rPr>
                <w:b/>
                <w:bCs/>
                <w:sz w:val="24"/>
              </w:rPr>
              <w:t>）</w:t>
            </w:r>
            <w:r>
              <w:rPr>
                <w:rFonts w:hint="eastAsia"/>
                <w:b/>
                <w:bCs/>
                <w:sz w:val="24"/>
              </w:rPr>
              <w:t>主要研究内容</w:t>
            </w:r>
          </w:p>
          <w:p>
            <w:pPr>
              <w:spacing w:line="300" w:lineRule="auto"/>
              <w:ind w:firstLine="480" w:firstLineChars="200"/>
              <w:rPr>
                <w:rFonts w:ascii="宋体" w:hAnsi="宋体"/>
                <w:sz w:val="24"/>
              </w:rPr>
            </w:pPr>
            <w:bookmarkStart w:id="4" w:name="OLE_LINK4"/>
            <w:r>
              <w:rPr>
                <w:rFonts w:hint="eastAsia" w:ascii="宋体" w:hAnsi="宋体"/>
                <w:sz w:val="24"/>
              </w:rPr>
              <w:t>本项目期望设计一个新的钝化剂分子，</w:t>
            </w:r>
            <w:bookmarkStart w:id="5" w:name="OLE_LINK3"/>
            <w:r>
              <w:rPr>
                <w:rFonts w:hint="eastAsia" w:ascii="宋体" w:hAnsi="宋体"/>
                <w:sz w:val="24"/>
              </w:rPr>
              <w:t>实现可控调控钙钛矿量子点合成过程中的结晶成核生长过程</w:t>
            </w:r>
            <w:bookmarkEnd w:id="5"/>
            <w:r>
              <w:rPr>
                <w:rFonts w:hint="eastAsia" w:ascii="宋体" w:hAnsi="宋体"/>
                <w:sz w:val="24"/>
              </w:rPr>
              <w:t>，主要研究内容包括以下几个方面：</w:t>
            </w:r>
          </w:p>
          <w:p>
            <w:pPr>
              <w:spacing w:line="300" w:lineRule="auto"/>
              <w:ind w:firstLine="480" w:firstLineChars="200"/>
              <w:rPr>
                <w:rFonts w:ascii="宋体" w:hAnsi="宋体"/>
                <w:sz w:val="24"/>
              </w:rPr>
            </w:pPr>
            <w:r>
              <w:rPr>
                <w:rFonts w:hint="eastAsia" w:ascii="宋体" w:hAnsi="宋体"/>
                <w:sz w:val="24"/>
              </w:rPr>
              <w:t>（1）选择合适的合成方法，能够在条件较为温和的情况下合成Cs</w:t>
            </w:r>
            <w:r>
              <w:rPr>
                <w:rFonts w:ascii="宋体" w:hAnsi="宋体"/>
                <w:sz w:val="24"/>
              </w:rPr>
              <w:t>PbBr3</w:t>
            </w:r>
            <w:r>
              <w:rPr>
                <w:rFonts w:hint="eastAsia" w:ascii="宋体" w:hAnsi="宋体"/>
                <w:sz w:val="24"/>
              </w:rPr>
              <w:t>钙钛矿量子点；</w:t>
            </w:r>
          </w:p>
          <w:p>
            <w:pPr>
              <w:spacing w:line="300" w:lineRule="auto"/>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依据现有报道的钝化剂分子，选择具有相似分子结构，类似的不同官能团进行测试，比较不同官能团的钝化效果，系统研究其对量子点合成以及稳定性和光学性能的影响，总结得出优化后的钝化剂分子的最佳官能团；</w:t>
            </w:r>
          </w:p>
          <w:p>
            <w:pPr>
              <w:spacing w:line="300" w:lineRule="auto"/>
              <w:ind w:firstLine="480" w:firstLineChars="20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基于上述钝化剂分子设计策略，引入不同的钙钛矿量子点体系（Cs</w:t>
            </w:r>
            <w:r>
              <w:rPr>
                <w:rFonts w:ascii="宋体" w:hAnsi="宋体"/>
                <w:sz w:val="24"/>
              </w:rPr>
              <w:t>PbC</w:t>
            </w:r>
            <w:r>
              <w:rPr>
                <w:rFonts w:hint="eastAsia" w:ascii="宋体" w:hAnsi="宋体"/>
                <w:sz w:val="24"/>
              </w:rPr>
              <w:t>l</w:t>
            </w:r>
            <w:r>
              <w:rPr>
                <w:rFonts w:ascii="宋体" w:hAnsi="宋体"/>
                <w:sz w:val="24"/>
              </w:rPr>
              <w:t>3</w:t>
            </w:r>
            <w:r>
              <w:rPr>
                <w:rFonts w:hint="eastAsia" w:ascii="宋体" w:hAnsi="宋体"/>
                <w:sz w:val="24"/>
              </w:rPr>
              <w:t>、Cs</w:t>
            </w:r>
            <w:r>
              <w:rPr>
                <w:rFonts w:ascii="宋体" w:hAnsi="宋体"/>
                <w:sz w:val="24"/>
              </w:rPr>
              <w:t>PbI3</w:t>
            </w:r>
            <w:r>
              <w:rPr>
                <w:rFonts w:hint="eastAsia" w:ascii="宋体" w:hAnsi="宋体"/>
                <w:sz w:val="24"/>
              </w:rPr>
              <w:t>、</w:t>
            </w:r>
            <w:r>
              <w:rPr>
                <w:rFonts w:ascii="宋体" w:hAnsi="宋体"/>
                <w:sz w:val="24"/>
              </w:rPr>
              <w:t>FAPbBr3</w:t>
            </w:r>
            <w:r>
              <w:rPr>
                <w:rFonts w:hint="eastAsia" w:ascii="宋体" w:hAnsi="宋体"/>
                <w:sz w:val="24"/>
              </w:rPr>
              <w:t>、</w:t>
            </w:r>
            <w:r>
              <w:rPr>
                <w:rFonts w:ascii="宋体" w:hAnsi="宋体"/>
                <w:sz w:val="24"/>
              </w:rPr>
              <w:t>MAPbBr3</w:t>
            </w:r>
            <w:r>
              <w:rPr>
                <w:rFonts w:hint="eastAsia" w:ascii="宋体" w:hAnsi="宋体"/>
                <w:sz w:val="24"/>
              </w:rPr>
              <w:t>），验证其通用性。</w:t>
            </w:r>
          </w:p>
          <w:bookmarkEnd w:id="4"/>
          <w:p>
            <w:pPr>
              <w:spacing w:line="300" w:lineRule="auto"/>
              <w:ind w:firstLine="482" w:firstLineChars="200"/>
              <w:rPr>
                <w:b/>
                <w:bCs/>
                <w:sz w:val="24"/>
              </w:rPr>
            </w:pPr>
            <w:r>
              <w:rPr>
                <w:b/>
                <w:bCs/>
                <w:sz w:val="24"/>
              </w:rPr>
              <w:t>（</w:t>
            </w:r>
            <w:r>
              <w:rPr>
                <w:rFonts w:hint="eastAsia"/>
                <w:b/>
                <w:bCs/>
                <w:sz w:val="24"/>
              </w:rPr>
              <w:t>二</w:t>
            </w:r>
            <w:r>
              <w:rPr>
                <w:b/>
                <w:bCs/>
                <w:sz w:val="24"/>
              </w:rPr>
              <w:t>）</w:t>
            </w:r>
            <w:r>
              <w:rPr>
                <w:rFonts w:hint="eastAsia"/>
                <w:b/>
                <w:bCs/>
                <w:sz w:val="24"/>
              </w:rPr>
              <w:t>研究重点与难点</w:t>
            </w:r>
          </w:p>
          <w:p>
            <w:pPr>
              <w:spacing w:line="300" w:lineRule="auto"/>
              <w:ind w:firstLine="480" w:firstLineChars="200"/>
              <w:rPr>
                <w:sz w:val="24"/>
              </w:rPr>
            </w:pPr>
            <w:r>
              <w:rPr>
                <w:rFonts w:hint="eastAsia"/>
                <w:sz w:val="24"/>
              </w:rPr>
              <w:t>本项目的研究重点与难点包括以下三个方面：</w:t>
            </w:r>
          </w:p>
          <w:p>
            <w:pPr>
              <w:spacing w:line="300" w:lineRule="auto"/>
              <w:ind w:firstLine="480" w:firstLineChars="200"/>
              <w:rPr>
                <w:sz w:val="24"/>
              </w:rPr>
            </w:pPr>
            <w:r>
              <w:rPr>
                <w:rFonts w:hint="eastAsia"/>
                <w:sz w:val="24"/>
              </w:rPr>
              <w:t>（1）选择一种合适的量子点合成方法，能够实现在温和条件下合成高质量的钙钛矿量子点；</w:t>
            </w:r>
          </w:p>
          <w:p>
            <w:pPr>
              <w:spacing w:line="300" w:lineRule="auto"/>
              <w:ind w:firstLine="480" w:firstLineChars="200"/>
              <w:rPr>
                <w:sz w:val="24"/>
              </w:rPr>
            </w:pPr>
            <w:r>
              <w:rPr>
                <w:rFonts w:hint="eastAsia"/>
                <w:sz w:val="24"/>
              </w:rPr>
              <w:t>（2）选取一种钝化剂分子，能够有效调控量子点的合成；</w:t>
            </w:r>
          </w:p>
          <w:p>
            <w:pPr>
              <w:spacing w:line="300" w:lineRule="auto"/>
              <w:ind w:firstLine="480" w:firstLineChars="200"/>
              <w:rPr>
                <w:sz w:val="24"/>
              </w:rPr>
            </w:pPr>
            <w:r>
              <w:rPr>
                <w:rFonts w:hint="eastAsia"/>
                <w:sz w:val="24"/>
              </w:rPr>
              <w:t>（3）钝化剂分子的作用机制的研究。</w:t>
            </w:r>
          </w:p>
          <w:p>
            <w:pPr>
              <w:spacing w:line="300" w:lineRule="auto"/>
              <w:ind w:firstLine="482" w:firstLineChars="200"/>
              <w:rPr>
                <w:b/>
                <w:bCs/>
                <w:sz w:val="24"/>
              </w:rPr>
            </w:pPr>
            <w:r>
              <w:rPr>
                <w:b/>
                <w:bCs/>
                <w:sz w:val="24"/>
              </w:rPr>
              <w:t>（</w:t>
            </w:r>
            <w:r>
              <w:rPr>
                <w:rFonts w:hint="eastAsia"/>
                <w:b/>
                <w:bCs/>
                <w:sz w:val="24"/>
              </w:rPr>
              <w:t>三</w:t>
            </w:r>
            <w:r>
              <w:rPr>
                <w:b/>
                <w:bCs/>
                <w:sz w:val="24"/>
              </w:rPr>
              <w:t>）</w:t>
            </w:r>
            <w:r>
              <w:rPr>
                <w:rFonts w:hint="eastAsia"/>
                <w:b/>
                <w:bCs/>
                <w:sz w:val="24"/>
              </w:rPr>
              <w:t>研究思路及方法</w:t>
            </w:r>
          </w:p>
          <w:p>
            <w:pPr>
              <w:spacing w:line="300" w:lineRule="auto"/>
              <w:ind w:firstLine="480" w:firstLineChars="200"/>
              <w:rPr>
                <w:sz w:val="24"/>
              </w:rPr>
            </w:pPr>
            <w:r>
              <w:rPr>
                <w:rFonts w:hint="eastAsia"/>
                <w:sz w:val="24"/>
              </w:rPr>
              <w:t>（1）对比现有的合成方法，选择目前最为合适的合成方法，并对其进行改进；</w:t>
            </w:r>
          </w:p>
          <w:p>
            <w:pPr>
              <w:spacing w:line="300" w:lineRule="auto"/>
              <w:ind w:firstLine="480" w:firstLineChars="200"/>
              <w:rPr>
                <w:sz w:val="24"/>
              </w:rPr>
            </w:pPr>
            <w:r>
              <w:rPr>
                <w:rFonts w:hint="eastAsia"/>
                <w:sz w:val="24"/>
              </w:rPr>
              <w:t>（2）对比现有的钝化剂分子，选择合适的钝化剂分子，并对其具有相似分子结构，类似但不同的官能团进行测试，考察不同官能团钝化剂分子对量子点合成以及光学性能和稳定性的影响；</w:t>
            </w:r>
          </w:p>
          <w:p>
            <w:pPr>
              <w:spacing w:line="300" w:lineRule="auto"/>
              <w:ind w:firstLine="480" w:firstLineChars="200"/>
              <w:rPr>
                <w:rFonts w:hint="eastAsia" w:ascii="宋体" w:hAnsi="宋体"/>
                <w:sz w:val="24"/>
              </w:rPr>
            </w:pPr>
            <w:r>
              <w:rPr>
                <w:rFonts w:hint="eastAsia"/>
                <w:sz w:val="24"/>
              </w:rPr>
              <w:t>（3）根据上述研究基础，选择合适的方法和合适的官能团，通过表征和模拟的手段研究其作用机制。</w:t>
            </w:r>
          </w:p>
          <w:p>
            <w:pPr>
              <w:spacing w:line="30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jc w:val="center"/>
        </w:trPr>
        <w:tc>
          <w:tcPr>
            <w:tcW w:w="481" w:type="dxa"/>
            <w:vAlign w:val="center"/>
          </w:tcPr>
          <w:p>
            <w:pPr>
              <w:rPr>
                <w:rFonts w:hint="eastAsia"/>
                <w:b/>
                <w:sz w:val="24"/>
                <w:szCs w:val="22"/>
              </w:rPr>
            </w:pPr>
            <w:r>
              <w:rPr>
                <w:rFonts w:hint="eastAsia"/>
                <w:b/>
                <w:sz w:val="24"/>
                <w:szCs w:val="22"/>
              </w:rPr>
              <w:t>项目创新点</w:t>
            </w:r>
          </w:p>
        </w:tc>
        <w:tc>
          <w:tcPr>
            <w:tcW w:w="9458" w:type="dxa"/>
          </w:tcPr>
          <w:p>
            <w:pPr>
              <w:spacing w:line="300" w:lineRule="auto"/>
              <w:rPr>
                <w:rFonts w:ascii="宋体" w:hAnsi="宋体"/>
                <w:sz w:val="24"/>
              </w:rPr>
            </w:pPr>
            <w:r>
              <w:rPr>
                <w:rFonts w:hint="eastAsia" w:ascii="宋体" w:hAnsi="宋体"/>
                <w:sz w:val="24"/>
              </w:rPr>
              <w:t>（1）基于钝化剂分子结构和功能，可控调控钙钛矿量子点的成核及生长过程</w:t>
            </w:r>
          </w:p>
          <w:p>
            <w:pPr>
              <w:spacing w:line="300" w:lineRule="auto"/>
              <w:rPr>
                <w:rFonts w:hint="eastAsia" w:ascii="宋体" w:hAnsi="宋体"/>
                <w:sz w:val="24"/>
              </w:rPr>
            </w:pPr>
            <w:r>
              <w:rPr>
                <w:rFonts w:hint="eastAsia" w:ascii="宋体" w:hAnsi="宋体"/>
                <w:sz w:val="24"/>
              </w:rPr>
              <w:t>（2）基于钝化剂分子钝化效果，探究其作用机制，实现针对性的设计和选择不同的钝化剂</w:t>
            </w:r>
          </w:p>
        </w:tc>
      </w:tr>
    </w:tbl>
    <w:p>
      <w:pPr>
        <w:spacing w:before="312" w:beforeLines="100" w:after="156" w:afterLines="50"/>
        <w:ind w:right="-512" w:rightChars="-244"/>
        <w:rPr>
          <w:rFonts w:hint="eastAsia"/>
          <w:b/>
          <w:sz w:val="32"/>
          <w:szCs w:val="32"/>
        </w:rPr>
      </w:pPr>
      <w:r>
        <w:rPr>
          <w:rFonts w:hint="eastAsia"/>
          <w:b/>
          <w:sz w:val="32"/>
          <w:szCs w:val="32"/>
        </w:rPr>
        <w:t>四、项目进度安排</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481" w:type="dxa"/>
            <w:vMerge w:val="restart"/>
            <w:vAlign w:val="center"/>
          </w:tcPr>
          <w:p>
            <w:pPr>
              <w:rPr>
                <w:rFonts w:hint="eastAsia"/>
                <w:b/>
                <w:sz w:val="24"/>
              </w:rPr>
            </w:pPr>
            <w:r>
              <w:rPr>
                <w:rFonts w:hint="eastAsia"/>
                <w:b/>
                <w:sz w:val="24"/>
                <w:szCs w:val="22"/>
              </w:rPr>
              <w:t>项目进度安排</w:t>
            </w:r>
          </w:p>
        </w:tc>
        <w:tc>
          <w:tcPr>
            <w:tcW w:w="9458" w:type="dxa"/>
            <w:tcBorders>
              <w:bottom w:val="nil"/>
            </w:tcBorders>
          </w:tcPr>
          <w:p>
            <w:pPr>
              <w:spacing w:line="300" w:lineRule="auto"/>
              <w:rPr>
                <w:rFonts w:hint="eastAsia" w:ascii="仿宋_GB2312" w:hAnsi="宋体" w:eastAsia="仿宋_GB2312"/>
                <w:sz w:val="24"/>
              </w:rPr>
            </w:pPr>
            <w:r>
              <w:rPr>
                <w:rFonts w:hint="eastAsia" w:ascii="仿宋_GB2312" w:hAnsi="宋体" w:eastAsia="仿宋_GB2312"/>
                <w:sz w:val="24"/>
              </w:rPr>
              <w:t>（查阅资料、自主设计项目研究方案、实验研究、数据统计、处理与分析、研制开发、中期检查、填写结题表、撰写研究论文和总结报告、参加结题答辩和成果推广等）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481" w:type="dxa"/>
            <w:vMerge w:val="continue"/>
            <w:vAlign w:val="center"/>
          </w:tcPr>
          <w:p>
            <w:pPr>
              <w:rPr>
                <w:rFonts w:hint="eastAsia"/>
                <w:b/>
                <w:sz w:val="24"/>
                <w:szCs w:val="22"/>
              </w:rPr>
            </w:pPr>
          </w:p>
        </w:tc>
        <w:tc>
          <w:tcPr>
            <w:tcW w:w="9458" w:type="dxa"/>
            <w:tcBorders>
              <w:top w:val="nil"/>
            </w:tcBorders>
          </w:tcPr>
          <w:tbl>
            <w:tblPr>
              <w:tblStyle w:val="12"/>
              <w:tblpPr w:leftFromText="180" w:rightFromText="180" w:vertAnchor="text" w:horzAnchor="margin" w:tblpY="-185"/>
              <w:tblOverlap w:val="never"/>
              <w:tblW w:w="0" w:type="auto"/>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48"/>
              <w:gridCol w:w="4357"/>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jc w:val="left"/>
                  </w:pPr>
                  <w:r>
                    <w:rPr>
                      <w:rFonts w:hint="eastAsia"/>
                    </w:rPr>
                    <w:t>2024年9月-2024年12月</w:t>
                  </w:r>
                </w:p>
              </w:tc>
              <w:tc>
                <w:tcPr>
                  <w:tcW w:w="4357" w:type="dxa"/>
                </w:tcPr>
                <w:p>
                  <w:pPr>
                    <w:jc w:val="left"/>
                  </w:pPr>
                  <w:r>
                    <w:rPr>
                      <w:rFonts w:hint="eastAsia"/>
                    </w:rPr>
                    <w:t>查阅资料学习相关知识，了解项目背景和意义，填写申报书。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jc w:val="left"/>
                  </w:pPr>
                </w:p>
                <w:p>
                  <w:pPr>
                    <w:jc w:val="left"/>
                  </w:pPr>
                </w:p>
                <w:p>
                  <w:pPr>
                    <w:jc w:val="left"/>
                  </w:pPr>
                  <w:r>
                    <w:rPr>
                      <w:rFonts w:hint="eastAsia"/>
                    </w:rPr>
                    <w:t>2025年1月-2025年4月</w:t>
                  </w:r>
                </w:p>
                <w:p>
                  <w:pPr>
                    <w:jc w:val="left"/>
                  </w:pPr>
                </w:p>
                <w:p>
                  <w:pPr>
                    <w:jc w:val="left"/>
                  </w:pPr>
                </w:p>
                <w:p>
                  <w:pPr>
                    <w:jc w:val="left"/>
                  </w:pPr>
                  <w:r>
                    <w:rPr>
                      <w:rFonts w:hint="eastAsia"/>
                    </w:rPr>
                    <w:t>2025年5月-2025年8月</w:t>
                  </w:r>
                </w:p>
                <w:p>
                  <w:pPr>
                    <w:jc w:val="left"/>
                    <w:rPr>
                      <w:rFonts w:hint="eastAsia"/>
                    </w:rPr>
                  </w:pPr>
                </w:p>
                <w:p>
                  <w:pPr>
                    <w:jc w:val="left"/>
                    <w:rPr>
                      <w:rFonts w:hint="eastAsia"/>
                    </w:rPr>
                  </w:pPr>
                  <w:r>
                    <w:rPr>
                      <w:rFonts w:hint="eastAsia"/>
                    </w:rPr>
                    <w:t>2025年9月-2025年11月</w:t>
                  </w:r>
                </w:p>
              </w:tc>
              <w:tc>
                <w:tcPr>
                  <w:tcW w:w="4357" w:type="dxa"/>
                </w:tcPr>
                <w:p>
                  <w:pPr>
                    <w:jc w:val="left"/>
                  </w:pPr>
                  <w:r>
                    <w:rPr>
                      <w:rFonts w:hint="eastAsia"/>
                    </w:rPr>
                    <w:t>从已有文献中查找并了解，复现已有的量子点合成方法，并且根据实验结果提出自己的研究方向以及预期目标。同时，熟悉掌握实验室操作流程，之后准备立项答辩、项目升级答辩。</w:t>
                  </w:r>
                </w:p>
                <w:p>
                  <w:pPr>
                    <w:jc w:val="left"/>
                  </w:pPr>
                  <w:r>
                    <w:rPr>
                      <w:rFonts w:hint="eastAsia"/>
                    </w:rPr>
                    <w:t>进行量子点合成实验，比较不同合成方法对量子点性能的影响。</w:t>
                  </w:r>
                </w:p>
                <w:p>
                  <w:pPr>
                    <w:jc w:val="left"/>
                    <w:rPr>
                      <w:rFonts w:hint="eastAsia"/>
                    </w:rPr>
                  </w:pPr>
                  <w:r>
                    <w:rPr>
                      <w:rFonts w:hint="eastAsia"/>
                    </w:rPr>
                    <w:t>选择不同的钝化剂对量子点表面钝化，可控调节量子点成核生长过程，并完成项目的中期检查。</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pPr>
                    <w:jc w:val="left"/>
                  </w:pPr>
                  <w:r>
                    <w:rPr>
                      <w:rFonts w:hint="eastAsia"/>
                    </w:rPr>
                    <w:t>2025年12月-2026年3月</w:t>
                  </w:r>
                </w:p>
              </w:tc>
              <w:tc>
                <w:tcPr>
                  <w:tcW w:w="4357" w:type="dxa"/>
                </w:tcPr>
                <w:p>
                  <w:pPr>
                    <w:jc w:val="left"/>
                  </w:pPr>
                  <w:r>
                    <w:rPr>
                      <w:rFonts w:hint="eastAsia"/>
                    </w:rPr>
                    <w:t>进行钝化剂分子钝化及调控效果考评，撰写文章，总结结论，提出未来研究方向。</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4148" w:type="dxa"/>
                </w:tcPr>
                <w:p>
                  <w:pPr>
                    <w:jc w:val="left"/>
                  </w:pPr>
                  <w:r>
                    <w:rPr>
                      <w:rFonts w:hint="eastAsia"/>
                    </w:rPr>
                    <w:t>2026年4月-2026年6月</w:t>
                  </w:r>
                </w:p>
              </w:tc>
              <w:tc>
                <w:tcPr>
                  <w:tcW w:w="4357" w:type="dxa"/>
                </w:tcPr>
                <w:p>
                  <w:pPr>
                    <w:jc w:val="left"/>
                  </w:pPr>
                  <w:r>
                    <w:rPr>
                      <w:rFonts w:hint="eastAsia"/>
                    </w:rPr>
                    <w:t>撰写结题报告并参加结题答辩。</w:t>
                  </w:r>
                </w:p>
              </w:tc>
            </w:tr>
          </w:tbl>
          <w:p>
            <w:pPr>
              <w:spacing w:line="300" w:lineRule="auto"/>
              <w:rPr>
                <w:rFonts w:ascii="宋体" w:hAnsi="宋体"/>
                <w:sz w:val="24"/>
              </w:rPr>
            </w:pPr>
          </w:p>
          <w:p>
            <w:pPr>
              <w:spacing w:line="300" w:lineRule="auto"/>
              <w:rPr>
                <w:rFonts w:ascii="宋体" w:hAnsi="宋体"/>
                <w:sz w:val="24"/>
              </w:rPr>
            </w:pPr>
          </w:p>
          <w:p>
            <w:pPr>
              <w:spacing w:line="300" w:lineRule="auto"/>
              <w:rPr>
                <w:rFonts w:ascii="宋体" w:hAnsi="宋体"/>
                <w:sz w:val="24"/>
              </w:rPr>
            </w:pPr>
          </w:p>
          <w:p>
            <w:pPr>
              <w:spacing w:line="300" w:lineRule="auto"/>
              <w:rPr>
                <w:rFonts w:ascii="宋体" w:hAnsi="宋体"/>
                <w:sz w:val="24"/>
              </w:rPr>
            </w:pPr>
          </w:p>
          <w:p>
            <w:pPr>
              <w:spacing w:line="300" w:lineRule="auto"/>
              <w:rPr>
                <w:rFonts w:ascii="宋体" w:hAnsi="宋体"/>
                <w:sz w:val="24"/>
              </w:rPr>
            </w:pPr>
          </w:p>
          <w:p>
            <w:pPr>
              <w:spacing w:line="300" w:lineRule="auto"/>
              <w:rPr>
                <w:rFonts w:ascii="宋体" w:hAnsi="宋体"/>
                <w:sz w:val="24"/>
              </w:rPr>
            </w:pPr>
          </w:p>
          <w:p>
            <w:pPr>
              <w:spacing w:line="300" w:lineRule="auto"/>
              <w:rPr>
                <w:rFonts w:ascii="宋体" w:hAnsi="宋体"/>
                <w:sz w:val="24"/>
              </w:rPr>
            </w:pPr>
          </w:p>
          <w:p>
            <w:pPr>
              <w:spacing w:line="300" w:lineRule="auto"/>
              <w:rPr>
                <w:rFonts w:hint="eastAsia" w:ascii="宋体" w:hAnsi="宋体"/>
                <w:sz w:val="24"/>
              </w:rPr>
            </w:pPr>
          </w:p>
        </w:tc>
      </w:tr>
    </w:tbl>
    <w:p>
      <w:pPr>
        <w:spacing w:before="312" w:beforeLines="100" w:after="156" w:afterLines="50"/>
        <w:ind w:right="-512" w:rightChars="-244"/>
        <w:rPr>
          <w:rFonts w:hint="eastAsia"/>
          <w:b/>
          <w:sz w:val="32"/>
          <w:szCs w:val="32"/>
        </w:rPr>
      </w:pPr>
      <w:r>
        <w:rPr>
          <w:rFonts w:hint="eastAsia"/>
          <w:b/>
          <w:sz w:val="32"/>
          <w:szCs w:val="32"/>
        </w:rPr>
        <w:t>五、项目实施条件</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481" w:type="dxa"/>
            <w:vMerge w:val="restart"/>
            <w:vAlign w:val="center"/>
          </w:tcPr>
          <w:p>
            <w:pPr>
              <w:rPr>
                <w:rFonts w:hint="eastAsia"/>
                <w:b/>
                <w:sz w:val="24"/>
                <w:szCs w:val="22"/>
              </w:rPr>
            </w:pPr>
            <w:r>
              <w:rPr>
                <w:rFonts w:hint="eastAsia"/>
                <w:b/>
                <w:sz w:val="24"/>
                <w:szCs w:val="22"/>
              </w:rPr>
              <w:t>项目实施的条件</w:t>
            </w:r>
          </w:p>
          <w:p>
            <w:pPr>
              <w:rPr>
                <w:rFonts w:hint="eastAsia"/>
                <w:b/>
                <w:sz w:val="24"/>
              </w:rPr>
            </w:pPr>
            <w:r>
              <w:rPr>
                <w:rFonts w:hint="eastAsia"/>
                <w:b/>
                <w:sz w:val="24"/>
                <w:szCs w:val="22"/>
              </w:rPr>
              <w:t>和资源</w:t>
            </w:r>
          </w:p>
        </w:tc>
        <w:tc>
          <w:tcPr>
            <w:tcW w:w="9458" w:type="dxa"/>
            <w:tcBorders>
              <w:bottom w:val="nil"/>
            </w:tcBorders>
          </w:tcPr>
          <w:p>
            <w:pPr>
              <w:spacing w:line="300" w:lineRule="auto"/>
              <w:rPr>
                <w:rFonts w:hint="eastAsia" w:ascii="仿宋_GB2312" w:hAnsi="宋体" w:eastAsia="仿宋_GB2312"/>
                <w:b/>
                <w:sz w:val="24"/>
              </w:rPr>
            </w:pPr>
            <w:r>
              <w:rPr>
                <w:rFonts w:hint="eastAsia" w:ascii="仿宋_GB2312" w:hAnsi="宋体" w:eastAsia="仿宋_GB2312"/>
                <w:sz w:val="24"/>
              </w:rPr>
              <w:t>（依托的科研或教学实验基地，实验仪器设备的配置，图书资料，实验或实践场地等项目实施的条件）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481" w:type="dxa"/>
            <w:vMerge w:val="continue"/>
            <w:vAlign w:val="center"/>
          </w:tcPr>
          <w:p>
            <w:pPr>
              <w:rPr>
                <w:rFonts w:hint="eastAsia"/>
                <w:b/>
                <w:sz w:val="24"/>
                <w:szCs w:val="22"/>
              </w:rPr>
            </w:pPr>
          </w:p>
        </w:tc>
        <w:tc>
          <w:tcPr>
            <w:tcW w:w="9458" w:type="dxa"/>
            <w:tcBorders>
              <w:top w:val="nil"/>
            </w:tcBorders>
          </w:tcPr>
          <w:p>
            <w:pPr>
              <w:spacing w:line="300" w:lineRule="auto"/>
              <w:ind w:firstLine="480" w:firstLineChars="200"/>
              <w:rPr>
                <w:rFonts w:hint="eastAsia" w:ascii="宋体" w:hAnsi="宋体"/>
                <w:sz w:val="24"/>
              </w:rPr>
            </w:pPr>
            <w:r>
              <w:rPr>
                <w:sz w:val="24"/>
              </w:rPr>
              <w:t>本项目依托华东理工大学化学工程联合国家重点实验室。实验室</w:t>
            </w:r>
            <w:r>
              <w:rPr>
                <w:rFonts w:hint="eastAsia"/>
                <w:sz w:val="24"/>
              </w:rPr>
              <w:t>已有油浴锅、真空干燥箱、手套箱等仪器</w:t>
            </w:r>
            <w:r>
              <w:rPr>
                <w:sz w:val="24"/>
              </w:rPr>
              <w:t>。华东理工大学分析测试中心具备国家级计量认证资格，其拥有的大批大型精密仪器也将为本项目的顺利实施提供保障。图书资料等可以在学校图书馆购买的数据库中查阅下载。</w:t>
            </w:r>
          </w:p>
        </w:tc>
      </w:tr>
    </w:tbl>
    <w:p>
      <w:pPr>
        <w:spacing w:before="312" w:beforeLines="100" w:after="156" w:afterLines="50"/>
        <w:rPr>
          <w:rFonts w:hint="eastAsia"/>
          <w:b/>
          <w:sz w:val="32"/>
          <w:szCs w:val="32"/>
        </w:rPr>
      </w:pPr>
      <w:r>
        <w:rPr>
          <w:rFonts w:hint="eastAsia"/>
          <w:b/>
          <w:sz w:val="32"/>
          <w:szCs w:val="32"/>
        </w:rPr>
        <w:t>六、项目预期效果及成果形式</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81" w:type="dxa"/>
            <w:vMerge w:val="restart"/>
            <w:vAlign w:val="center"/>
          </w:tcPr>
          <w:p>
            <w:pPr>
              <w:rPr>
                <w:rFonts w:hint="eastAsia"/>
                <w:b/>
                <w:sz w:val="24"/>
                <w:szCs w:val="22"/>
              </w:rPr>
            </w:pPr>
            <w:r>
              <w:rPr>
                <w:rFonts w:hint="eastAsia"/>
                <w:b/>
                <w:sz w:val="24"/>
                <w:szCs w:val="22"/>
              </w:rPr>
              <w:t>项目</w:t>
            </w:r>
          </w:p>
          <w:p>
            <w:pPr>
              <w:rPr>
                <w:rFonts w:hint="eastAsia"/>
                <w:b/>
                <w:sz w:val="24"/>
              </w:rPr>
            </w:pPr>
            <w:r>
              <w:rPr>
                <w:rFonts w:hint="eastAsia"/>
                <w:b/>
                <w:sz w:val="24"/>
                <w:szCs w:val="22"/>
              </w:rPr>
              <w:t>预期成果及其形式</w:t>
            </w:r>
          </w:p>
        </w:tc>
        <w:tc>
          <w:tcPr>
            <w:tcW w:w="9458" w:type="dxa"/>
            <w:tcBorders>
              <w:bottom w:val="nil"/>
            </w:tcBorders>
          </w:tcPr>
          <w:p>
            <w:pPr>
              <w:spacing w:line="300" w:lineRule="auto"/>
              <w:rPr>
                <w:rFonts w:hint="eastAsia" w:ascii="仿宋_GB2312" w:hAnsi="宋体" w:eastAsia="仿宋_GB2312"/>
                <w:szCs w:val="21"/>
              </w:rPr>
            </w:pPr>
            <w:r>
              <w:rPr>
                <w:rFonts w:hint="eastAsia" w:eastAsia="仿宋_GB2312"/>
                <w:sz w:val="24"/>
              </w:rPr>
              <w:t>（学术论文、专利申请、竞赛获奖、开发软件、研制产品、项目鉴定，推广应用等，其中前三项至少任选其一）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1" w:hRule="atLeast"/>
          <w:jc w:val="center"/>
        </w:trPr>
        <w:tc>
          <w:tcPr>
            <w:tcW w:w="481" w:type="dxa"/>
            <w:vMerge w:val="continue"/>
            <w:vAlign w:val="center"/>
          </w:tcPr>
          <w:p>
            <w:pPr>
              <w:rPr>
                <w:rFonts w:hint="eastAsia"/>
                <w:b/>
                <w:sz w:val="24"/>
                <w:szCs w:val="22"/>
              </w:rPr>
            </w:pPr>
          </w:p>
        </w:tc>
        <w:tc>
          <w:tcPr>
            <w:tcW w:w="9458" w:type="dxa"/>
            <w:tcBorders>
              <w:top w:val="nil"/>
              <w:bottom w:val="single" w:color="auto" w:sz="4" w:space="0"/>
            </w:tcBorders>
          </w:tcPr>
          <w:p>
            <w:pPr>
              <w:numPr>
                <w:ilvl w:val="0"/>
                <w:numId w:val="1"/>
              </w:numPr>
              <w:spacing w:line="300" w:lineRule="auto"/>
              <w:rPr>
                <w:rFonts w:ascii="宋体" w:hAnsi="宋体"/>
                <w:sz w:val="24"/>
              </w:rPr>
            </w:pPr>
            <w:r>
              <w:rPr>
                <w:rFonts w:hint="eastAsia" w:ascii="宋体" w:hAnsi="宋体"/>
                <w:sz w:val="24"/>
              </w:rPr>
              <w:t>就实现可控调控钙钛矿量子点合成过程中的结晶成核生长过程以学术论文的形式表现成果。（发表1篇论文）</w:t>
            </w:r>
          </w:p>
          <w:p>
            <w:pPr>
              <w:numPr>
                <w:ilvl w:val="0"/>
                <w:numId w:val="1"/>
              </w:numPr>
              <w:spacing w:line="300" w:lineRule="auto"/>
              <w:rPr>
                <w:rFonts w:hint="eastAsia" w:ascii="宋体" w:hAnsi="宋体"/>
                <w:sz w:val="24"/>
              </w:rPr>
            </w:pPr>
            <w:r>
              <w:rPr>
                <w:rFonts w:hint="eastAsia" w:ascii="宋体" w:hAnsi="宋体"/>
                <w:sz w:val="24"/>
              </w:rPr>
              <w:t>预计参加“互联网+”全国大学生创业计划竞赛，争取获得市级及以上奖项。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81" w:type="dxa"/>
            <w:vMerge w:val="restart"/>
            <w:vAlign w:val="center"/>
          </w:tcPr>
          <w:p>
            <w:pPr>
              <w:rPr>
                <w:rFonts w:hint="eastAsia"/>
                <w:b/>
                <w:sz w:val="24"/>
                <w:szCs w:val="22"/>
              </w:rPr>
            </w:pPr>
            <w:r>
              <w:rPr>
                <w:rFonts w:hint="eastAsia"/>
                <w:b/>
                <w:sz w:val="24"/>
                <w:szCs w:val="22"/>
              </w:rPr>
              <w:t>结合专业学习的计划</w:t>
            </w:r>
          </w:p>
        </w:tc>
        <w:tc>
          <w:tcPr>
            <w:tcW w:w="9458" w:type="dxa"/>
            <w:tcBorders>
              <w:bottom w:val="nil"/>
            </w:tcBorders>
          </w:tcPr>
          <w:p>
            <w:pPr>
              <w:spacing w:line="300" w:lineRule="auto"/>
              <w:rPr>
                <w:rFonts w:eastAsia="仿宋_GB2312"/>
                <w:sz w:val="24"/>
              </w:rPr>
            </w:pPr>
            <w:r>
              <w:rPr>
                <w:rFonts w:hint="eastAsia" w:eastAsia="仿宋_GB2312"/>
                <w:sz w:val="24"/>
              </w:rPr>
              <w:t>（是否有进一步深造的想法？如何通过参与项目研究加强专业学习，培养自身的实践能力、科研能力。）</w:t>
            </w:r>
          </w:p>
          <w:p>
            <w:pPr>
              <w:spacing w:line="300" w:lineRule="auto"/>
              <w:rPr>
                <w:rFonts w:hint="eastAsia" w:eastAsia="仿宋_GB2312"/>
                <w:sz w:val="24"/>
              </w:rPr>
            </w:pPr>
            <w:r>
              <w:rPr>
                <w:rFonts w:hint="eastAsia" w:eastAsia="仿宋_GB2312"/>
                <w:sz w:val="24"/>
              </w:rPr>
              <w:t>团队四名成员均来自化学工程与工程管理双学位，均有进一步深造的想法。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jc w:val="center"/>
        </w:trPr>
        <w:tc>
          <w:tcPr>
            <w:tcW w:w="481" w:type="dxa"/>
            <w:vMerge w:val="continue"/>
            <w:vAlign w:val="center"/>
          </w:tcPr>
          <w:p>
            <w:pPr>
              <w:rPr>
                <w:rFonts w:hint="eastAsia"/>
                <w:b/>
                <w:sz w:val="24"/>
                <w:szCs w:val="22"/>
              </w:rPr>
            </w:pPr>
          </w:p>
        </w:tc>
        <w:tc>
          <w:tcPr>
            <w:tcW w:w="9458" w:type="dxa"/>
            <w:tcBorders>
              <w:top w:val="nil"/>
            </w:tcBorders>
          </w:tcPr>
          <w:p>
            <w:pPr>
              <w:spacing w:line="300" w:lineRule="auto"/>
              <w:rPr>
                <w:rFonts w:hint="eastAsia" w:eastAsia="仿宋_GB2312"/>
                <w:sz w:val="24"/>
              </w:rPr>
            </w:pPr>
            <w:r>
              <w:rPr>
                <w:rFonts w:hint="eastAsia" w:eastAsia="仿宋_GB2312"/>
                <w:sz w:val="24"/>
              </w:rPr>
              <w:t>通过参与项目研究，可以将理论知识与实际应用相结合，深入理解专业内容，同时提升解决实际问题的能力。在项目过程中，参与者需要查阅文献、设计实验、分析数据等，这不仅锻炼了科研思维，还培养了团队协作与独立解决问题的能力。研究过程中还可能涉及工业设备的操作和流程模拟软件的使用，这提高了实践技能和工程化思维能力，为未来在化工领域的研发或生产管理工作奠定了扎实基础。此外，项目研究提供了与专业领域专家交流的机会，能拓宽视野，为未来的学术研究或职业发展打下坚实基础。</w:t>
            </w:r>
          </w:p>
        </w:tc>
      </w:tr>
    </w:tbl>
    <w:p>
      <w:pPr>
        <w:spacing w:before="312" w:beforeLines="100" w:after="156" w:afterLines="50"/>
        <w:ind w:right="-512" w:rightChars="-244"/>
        <w:rPr>
          <w:rFonts w:hint="eastAsia"/>
          <w:b/>
          <w:sz w:val="32"/>
          <w:szCs w:val="32"/>
        </w:rPr>
      </w:pPr>
      <w:r>
        <w:rPr>
          <w:rFonts w:hint="eastAsia"/>
          <w:b/>
          <w:sz w:val="32"/>
          <w:szCs w:val="32"/>
        </w:rPr>
        <w:t>七、项目经费预算</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81" w:type="dxa"/>
            <w:vMerge w:val="restart"/>
            <w:vAlign w:val="center"/>
          </w:tcPr>
          <w:p>
            <w:pPr>
              <w:rPr>
                <w:rFonts w:hint="eastAsia"/>
                <w:b/>
                <w:sz w:val="24"/>
              </w:rPr>
            </w:pPr>
            <w:r>
              <w:rPr>
                <w:rFonts w:hint="eastAsia"/>
                <w:b/>
                <w:sz w:val="24"/>
                <w:szCs w:val="22"/>
              </w:rPr>
              <w:t>项目经费使用计划</w:t>
            </w:r>
          </w:p>
        </w:tc>
        <w:tc>
          <w:tcPr>
            <w:tcW w:w="9458" w:type="dxa"/>
          </w:tcPr>
          <w:p>
            <w:pPr>
              <w:spacing w:line="300" w:lineRule="auto"/>
              <w:rPr>
                <w:rFonts w:hint="eastAsia" w:ascii="仿宋_GB2312" w:hAnsi="宋体" w:eastAsia="仿宋_GB2312"/>
                <w:sz w:val="24"/>
              </w:rPr>
            </w:pPr>
            <w:r>
              <w:rPr>
                <w:rFonts w:hint="eastAsia" w:ascii="仿宋_GB2312" w:hAnsi="宋体" w:eastAsia="仿宋_GB2312"/>
                <w:sz w:val="24"/>
              </w:rPr>
              <w:t>（包括大概支出科目（含配套经费）、金额、计算根据及理由，如果别的经费支持请说明）</w:t>
            </w:r>
          </w:p>
          <w:p>
            <w:pPr>
              <w:spacing w:line="300" w:lineRule="auto"/>
              <w:rPr>
                <w:rFonts w:ascii="仿宋_GB2312" w:hAnsi="宋体" w:eastAsia="仿宋_GB2312"/>
                <w:sz w:val="24"/>
              </w:rPr>
            </w:pPr>
          </w:p>
          <w:p>
            <w:pPr>
              <w:spacing w:line="300" w:lineRule="auto"/>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1" w:hRule="atLeast"/>
          <w:jc w:val="center"/>
        </w:trPr>
        <w:tc>
          <w:tcPr>
            <w:tcW w:w="481" w:type="dxa"/>
            <w:vMerge w:val="continue"/>
            <w:vAlign w:val="center"/>
          </w:tcPr>
          <w:p>
            <w:pPr>
              <w:rPr>
                <w:rFonts w:hint="eastAsia"/>
                <w:b/>
                <w:sz w:val="24"/>
                <w:szCs w:val="22"/>
              </w:rPr>
            </w:pPr>
          </w:p>
        </w:tc>
        <w:tc>
          <w:tcPr>
            <w:tcW w:w="9458" w:type="dxa"/>
          </w:tcPr>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070"/>
              <w:gridCol w:w="1589"/>
              <w:gridCol w:w="4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仿宋_GB2312" w:hAnsi="宋体" w:eastAsia="仿宋_GB2312"/>
                      <w:bCs/>
                      <w:sz w:val="24"/>
                    </w:rPr>
                  </w:pPr>
                  <w:r>
                    <w:rPr>
                      <w:rFonts w:hint="eastAsia" w:ascii="仿宋_GB2312" w:hAnsi="宋体" w:eastAsia="仿宋_GB2312"/>
                      <w:bCs/>
                      <w:sz w:val="24"/>
                    </w:rPr>
                    <w:t>支出科目</w:t>
                  </w:r>
                </w:p>
              </w:tc>
              <w:tc>
                <w:tcPr>
                  <w:tcW w:w="1589" w:type="dxa"/>
                  <w:vAlign w:val="center"/>
                </w:tcPr>
                <w:p>
                  <w:pPr>
                    <w:jc w:val="center"/>
                    <w:rPr>
                      <w:rFonts w:hint="eastAsia" w:ascii="仿宋_GB2312" w:hAnsi="宋体" w:eastAsia="仿宋_GB2312"/>
                      <w:bCs/>
                      <w:sz w:val="24"/>
                    </w:rPr>
                  </w:pPr>
                  <w:r>
                    <w:rPr>
                      <w:rFonts w:hint="eastAsia" w:ascii="仿宋_GB2312" w:hAnsi="宋体" w:eastAsia="仿宋_GB2312"/>
                      <w:bCs/>
                      <w:sz w:val="24"/>
                    </w:rPr>
                    <w:t>金额（元）</w:t>
                  </w:r>
                </w:p>
              </w:tc>
              <w:tc>
                <w:tcPr>
                  <w:tcW w:w="4648" w:type="dxa"/>
                  <w:vAlign w:val="center"/>
                </w:tcPr>
                <w:p>
                  <w:pPr>
                    <w:jc w:val="center"/>
                    <w:rPr>
                      <w:rFonts w:hint="eastAsia" w:ascii="仿宋_GB2312" w:hAnsi="宋体" w:eastAsia="仿宋_GB2312"/>
                      <w:bCs/>
                      <w:sz w:val="24"/>
                    </w:rPr>
                  </w:pPr>
                  <w:r>
                    <w:rPr>
                      <w:rFonts w:hint="eastAsia" w:ascii="仿宋_GB2312" w:hAnsi="宋体" w:eastAsia="仿宋_GB2312"/>
                      <w:bCs/>
                      <w:sz w:val="24"/>
                    </w:rPr>
                    <w:t>计算根据及理由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r>
                    <w:rPr>
                      <w:rFonts w:hint="eastAsia" w:ascii="宋体" w:hAnsi="宋体"/>
                      <w:sz w:val="24"/>
                    </w:rPr>
                    <w:t>材料费用</w:t>
                  </w:r>
                </w:p>
              </w:tc>
              <w:tc>
                <w:tcPr>
                  <w:tcW w:w="1589" w:type="dxa"/>
                  <w:vAlign w:val="center"/>
                </w:tcPr>
                <w:p>
                  <w:pPr>
                    <w:jc w:val="center"/>
                    <w:rPr>
                      <w:rFonts w:hint="eastAsia" w:ascii="宋体" w:hAnsi="宋体"/>
                      <w:sz w:val="24"/>
                    </w:rPr>
                  </w:pPr>
                  <w:r>
                    <w:rPr>
                      <w:rFonts w:hint="eastAsia" w:ascii="宋体" w:hAnsi="宋体"/>
                      <w:sz w:val="24"/>
                    </w:rPr>
                    <w:t>3000</w:t>
                  </w:r>
                </w:p>
              </w:tc>
              <w:tc>
                <w:tcPr>
                  <w:tcW w:w="4648" w:type="dxa"/>
                  <w:vAlign w:val="center"/>
                </w:tcPr>
                <w:p>
                  <w:pPr>
                    <w:jc w:val="center"/>
                    <w:rPr>
                      <w:rFonts w:hint="eastAsia" w:ascii="宋体" w:hAnsi="宋体"/>
                      <w:sz w:val="24"/>
                    </w:rPr>
                  </w:pPr>
                  <w:r>
                    <w:rPr>
                      <w:rFonts w:hint="eastAsia" w:ascii="宋体" w:hAnsi="宋体"/>
                      <w:sz w:val="24"/>
                    </w:rPr>
                    <w:t>不同前驱体、配体、溶剂以及抗溶剂等实验药品的购买，以及实验用玻璃器材的定制与购买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r>
                    <w:rPr>
                      <w:rFonts w:hint="eastAsia" w:ascii="宋体" w:hAnsi="宋体"/>
                      <w:sz w:val="24"/>
                    </w:rPr>
                    <w:t>分析测试</w:t>
                  </w:r>
                </w:p>
              </w:tc>
              <w:tc>
                <w:tcPr>
                  <w:tcW w:w="1589" w:type="dxa"/>
                  <w:vAlign w:val="center"/>
                </w:tcPr>
                <w:p>
                  <w:pPr>
                    <w:jc w:val="center"/>
                    <w:rPr>
                      <w:rFonts w:hint="eastAsia" w:ascii="宋体" w:hAnsi="宋体"/>
                      <w:sz w:val="24"/>
                    </w:rPr>
                  </w:pPr>
                  <w:r>
                    <w:rPr>
                      <w:rFonts w:hint="eastAsia" w:ascii="宋体" w:hAnsi="宋体"/>
                      <w:sz w:val="24"/>
                    </w:rPr>
                    <w:t>5000</w:t>
                  </w:r>
                </w:p>
              </w:tc>
              <w:tc>
                <w:tcPr>
                  <w:tcW w:w="4648" w:type="dxa"/>
                  <w:vAlign w:val="center"/>
                </w:tcPr>
                <w:p>
                  <w:pPr>
                    <w:jc w:val="center"/>
                    <w:rPr>
                      <w:rFonts w:hint="eastAsia" w:ascii="宋体" w:hAnsi="宋体"/>
                      <w:sz w:val="24"/>
                    </w:rPr>
                  </w:pPr>
                  <w:r>
                    <w:rPr>
                      <w:rFonts w:hint="eastAsia" w:ascii="宋体" w:hAnsi="宋体"/>
                      <w:sz w:val="24"/>
                    </w:rPr>
                    <w:t>P</w:t>
                  </w:r>
                  <w:r>
                    <w:rPr>
                      <w:rFonts w:ascii="宋体" w:hAnsi="宋体"/>
                      <w:sz w:val="24"/>
                    </w:rPr>
                    <w:t>L</w:t>
                  </w:r>
                  <w:r>
                    <w:rPr>
                      <w:rFonts w:hint="eastAsia" w:ascii="宋体" w:hAnsi="宋体"/>
                      <w:sz w:val="24"/>
                    </w:rPr>
                    <w:t>发射光谱、紫外-可见吸收光谱、荧光量子产率、T</w:t>
                  </w:r>
                  <w:r>
                    <w:rPr>
                      <w:rFonts w:ascii="宋体" w:hAnsi="宋体"/>
                      <w:sz w:val="24"/>
                    </w:rPr>
                    <w:t>EM</w:t>
                  </w:r>
                  <w:r>
                    <w:rPr>
                      <w:rFonts w:hint="eastAsia" w:ascii="宋体" w:hAnsi="宋体"/>
                      <w:sz w:val="24"/>
                    </w:rPr>
                    <w:t>透射电镜等表征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r>
                    <w:rPr>
                      <w:rFonts w:hint="eastAsia" w:ascii="宋体" w:hAnsi="宋体"/>
                      <w:sz w:val="24"/>
                    </w:rPr>
                    <w:t>资料费</w:t>
                  </w:r>
                </w:p>
              </w:tc>
              <w:tc>
                <w:tcPr>
                  <w:tcW w:w="1589" w:type="dxa"/>
                  <w:vAlign w:val="center"/>
                </w:tcPr>
                <w:p>
                  <w:pPr>
                    <w:jc w:val="center"/>
                    <w:rPr>
                      <w:rFonts w:hint="eastAsia" w:ascii="宋体" w:hAnsi="宋体"/>
                      <w:sz w:val="24"/>
                    </w:rPr>
                  </w:pPr>
                  <w:r>
                    <w:rPr>
                      <w:rFonts w:hint="eastAsia" w:ascii="宋体" w:hAnsi="宋体"/>
                      <w:sz w:val="24"/>
                    </w:rPr>
                    <w:t>560</w:t>
                  </w:r>
                </w:p>
              </w:tc>
              <w:tc>
                <w:tcPr>
                  <w:tcW w:w="4648" w:type="dxa"/>
                  <w:vAlign w:val="center"/>
                </w:tcPr>
                <w:p>
                  <w:pPr>
                    <w:jc w:val="center"/>
                    <w:rPr>
                      <w:rFonts w:hint="eastAsia" w:ascii="宋体" w:hAnsi="宋体"/>
                      <w:sz w:val="24"/>
                    </w:rPr>
                  </w:pPr>
                  <w:r>
                    <w:rPr>
                      <w:rFonts w:hint="eastAsia" w:ascii="宋体" w:hAnsi="宋体"/>
                      <w:sz w:val="24"/>
                    </w:rPr>
                    <w:t>相关学习资料购买及答辩资料准备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r>
                    <w:rPr>
                      <w:rFonts w:hint="eastAsia" w:ascii="宋体" w:hAnsi="宋体"/>
                      <w:sz w:val="24"/>
                    </w:rPr>
                    <w:t>专利费用</w:t>
                  </w:r>
                </w:p>
              </w:tc>
              <w:tc>
                <w:tcPr>
                  <w:tcW w:w="1589" w:type="dxa"/>
                  <w:vAlign w:val="center"/>
                </w:tcPr>
                <w:p>
                  <w:pPr>
                    <w:jc w:val="center"/>
                    <w:rPr>
                      <w:rFonts w:hint="eastAsia" w:ascii="宋体" w:hAnsi="宋体"/>
                      <w:sz w:val="24"/>
                    </w:rPr>
                  </w:pPr>
                  <w:r>
                    <w:rPr>
                      <w:rFonts w:hint="eastAsia" w:ascii="宋体" w:hAnsi="宋体"/>
                      <w:sz w:val="24"/>
                    </w:rPr>
                    <w:t>5000</w:t>
                  </w:r>
                </w:p>
              </w:tc>
              <w:tc>
                <w:tcPr>
                  <w:tcW w:w="4648" w:type="dxa"/>
                  <w:vAlign w:val="center"/>
                </w:tcPr>
                <w:p>
                  <w:pPr>
                    <w:jc w:val="center"/>
                    <w:rPr>
                      <w:rFonts w:hint="eastAsia" w:ascii="宋体" w:hAnsi="宋体"/>
                      <w:sz w:val="24"/>
                    </w:rPr>
                  </w:pPr>
                  <w:r>
                    <w:rPr>
                      <w:rFonts w:hint="eastAsia" w:ascii="宋体" w:hAnsi="宋体"/>
                      <w:sz w:val="24"/>
                    </w:rPr>
                    <w:t>专利代理费4000元，申请官费、实验审查费1000元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r>
                    <w:rPr>
                      <w:rFonts w:hint="eastAsia" w:ascii="宋体" w:hAnsi="宋体"/>
                      <w:sz w:val="24"/>
                    </w:rPr>
                    <w:t>往返车费</w:t>
                  </w:r>
                </w:p>
              </w:tc>
              <w:tc>
                <w:tcPr>
                  <w:tcW w:w="1589" w:type="dxa"/>
                  <w:vAlign w:val="center"/>
                </w:tcPr>
                <w:p>
                  <w:pPr>
                    <w:jc w:val="center"/>
                    <w:rPr>
                      <w:rFonts w:hint="eastAsia" w:ascii="宋体" w:hAnsi="宋体"/>
                      <w:sz w:val="24"/>
                    </w:rPr>
                  </w:pPr>
                  <w:r>
                    <w:rPr>
                      <w:rFonts w:hint="eastAsia" w:ascii="宋体" w:hAnsi="宋体"/>
                      <w:sz w:val="24"/>
                    </w:rPr>
                    <w:t>1440</w:t>
                  </w:r>
                </w:p>
              </w:tc>
              <w:tc>
                <w:tcPr>
                  <w:tcW w:w="4648" w:type="dxa"/>
                  <w:vAlign w:val="center"/>
                </w:tcPr>
                <w:p>
                  <w:pPr>
                    <w:jc w:val="center"/>
                    <w:rPr>
                      <w:rFonts w:hint="eastAsia" w:ascii="宋体" w:hAnsi="宋体"/>
                      <w:sz w:val="24"/>
                    </w:rPr>
                  </w:pPr>
                  <w:r>
                    <w:rPr>
                      <w:sz w:val="24"/>
                    </w:rPr>
                    <w:t>按往返车费每人15次计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p>
              </w:tc>
              <w:tc>
                <w:tcPr>
                  <w:tcW w:w="1589" w:type="dxa"/>
                  <w:vAlign w:val="center"/>
                </w:tcPr>
                <w:p>
                  <w:pPr>
                    <w:jc w:val="center"/>
                    <w:rPr>
                      <w:rFonts w:hint="eastAsia" w:ascii="宋体" w:hAnsi="宋体"/>
                      <w:sz w:val="24"/>
                    </w:rPr>
                  </w:pPr>
                </w:p>
              </w:tc>
              <w:tc>
                <w:tcPr>
                  <w:tcW w:w="4648" w:type="dxa"/>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p>
              </w:tc>
              <w:tc>
                <w:tcPr>
                  <w:tcW w:w="1589" w:type="dxa"/>
                  <w:vAlign w:val="center"/>
                </w:tcPr>
                <w:p>
                  <w:pPr>
                    <w:jc w:val="center"/>
                    <w:rPr>
                      <w:rFonts w:hint="eastAsia" w:ascii="宋体" w:hAnsi="宋体"/>
                      <w:sz w:val="24"/>
                    </w:rPr>
                  </w:pPr>
                </w:p>
              </w:tc>
              <w:tc>
                <w:tcPr>
                  <w:tcW w:w="4648" w:type="dxa"/>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p>
              </w:tc>
              <w:tc>
                <w:tcPr>
                  <w:tcW w:w="1589" w:type="dxa"/>
                  <w:vAlign w:val="center"/>
                </w:tcPr>
                <w:p>
                  <w:pPr>
                    <w:jc w:val="center"/>
                    <w:rPr>
                      <w:rFonts w:hint="eastAsia" w:ascii="宋体" w:hAnsi="宋体"/>
                      <w:sz w:val="24"/>
                    </w:rPr>
                  </w:pPr>
                </w:p>
              </w:tc>
              <w:tc>
                <w:tcPr>
                  <w:tcW w:w="4648" w:type="dxa"/>
                  <w:vAlign w:val="center"/>
                </w:tcPr>
                <w:p>
                  <w:pPr>
                    <w:jc w:val="center"/>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2070" w:type="dxa"/>
                  <w:vAlign w:val="center"/>
                </w:tcPr>
                <w:p>
                  <w:pPr>
                    <w:jc w:val="center"/>
                    <w:rPr>
                      <w:rFonts w:hint="eastAsia" w:ascii="宋体" w:hAnsi="宋体"/>
                      <w:sz w:val="24"/>
                    </w:rPr>
                  </w:pPr>
                </w:p>
              </w:tc>
              <w:tc>
                <w:tcPr>
                  <w:tcW w:w="1589" w:type="dxa"/>
                  <w:vAlign w:val="center"/>
                </w:tcPr>
                <w:p>
                  <w:pPr>
                    <w:jc w:val="center"/>
                    <w:rPr>
                      <w:rFonts w:hint="eastAsia" w:ascii="宋体" w:hAnsi="宋体"/>
                      <w:sz w:val="24"/>
                    </w:rPr>
                  </w:pPr>
                </w:p>
              </w:tc>
              <w:tc>
                <w:tcPr>
                  <w:tcW w:w="4648" w:type="dxa"/>
                  <w:vAlign w:val="center"/>
                </w:tcPr>
                <w:p>
                  <w:pPr>
                    <w:jc w:val="center"/>
                    <w:rPr>
                      <w:rFonts w:hint="eastAsia" w:ascii="宋体" w:hAnsi="宋体"/>
                      <w:sz w:val="24"/>
                    </w:rPr>
                  </w:pPr>
                </w:p>
              </w:tc>
            </w:tr>
          </w:tbl>
          <w:p>
            <w:pPr>
              <w:spacing w:line="300" w:lineRule="auto"/>
              <w:rPr>
                <w:rFonts w:hint="eastAsia" w:ascii="宋体" w:hAnsi="宋体"/>
                <w:sz w:val="24"/>
              </w:rPr>
            </w:pPr>
          </w:p>
        </w:tc>
      </w:tr>
    </w:tbl>
    <w:p>
      <w:pPr>
        <w:spacing w:before="312" w:beforeLines="100" w:after="156" w:afterLines="50"/>
        <w:rPr>
          <w:rFonts w:hint="eastAsia"/>
          <w:b/>
          <w:sz w:val="32"/>
          <w:szCs w:val="32"/>
        </w:rPr>
      </w:pPr>
      <w:r>
        <w:rPr>
          <w:rFonts w:hint="eastAsia"/>
          <w:b/>
          <w:sz w:val="32"/>
          <w:szCs w:val="32"/>
        </w:rPr>
        <w:t>八、指导老师意见</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81" w:type="dxa"/>
            <w:vMerge w:val="restart"/>
            <w:vAlign w:val="center"/>
          </w:tcPr>
          <w:p>
            <w:pPr>
              <w:rPr>
                <w:rFonts w:hint="eastAsia"/>
                <w:b/>
                <w:sz w:val="24"/>
              </w:rPr>
            </w:pPr>
            <w:r>
              <w:rPr>
                <w:rFonts w:hint="eastAsia"/>
                <w:b/>
                <w:sz w:val="24"/>
                <w:szCs w:val="22"/>
              </w:rPr>
              <w:t>指导教师意见及指导计划</w:t>
            </w:r>
          </w:p>
        </w:tc>
        <w:tc>
          <w:tcPr>
            <w:tcW w:w="9458" w:type="dxa"/>
            <w:tcBorders>
              <w:bottom w:val="nil"/>
            </w:tcBorders>
          </w:tcPr>
          <w:p>
            <w:pPr>
              <w:spacing w:line="300" w:lineRule="auto"/>
              <w:rPr>
                <w:rFonts w:hint="eastAsia" w:ascii="仿宋_GB2312" w:hAnsi="宋体" w:eastAsia="仿宋_GB2312"/>
                <w:sz w:val="24"/>
              </w:rPr>
            </w:pPr>
            <w:r>
              <w:rPr>
                <w:rFonts w:hint="eastAsia" w:ascii="仿宋_GB2312" w:hAnsi="宋体" w:eastAsia="仿宋_GB2312"/>
                <w:sz w:val="24"/>
              </w:rPr>
              <w:t>（指导教师指导项目实施的机会和安排，并从项目学科性、前沿性、可行性、研究性、可操作性和成效性加以评价）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7" w:hRule="atLeast"/>
          <w:jc w:val="center"/>
        </w:trPr>
        <w:tc>
          <w:tcPr>
            <w:tcW w:w="481" w:type="dxa"/>
            <w:vMerge w:val="continue"/>
            <w:vAlign w:val="center"/>
          </w:tcPr>
          <w:p>
            <w:pPr>
              <w:rPr>
                <w:rFonts w:hint="eastAsia"/>
                <w:b/>
                <w:sz w:val="24"/>
                <w:szCs w:val="22"/>
              </w:rPr>
            </w:pPr>
          </w:p>
        </w:tc>
        <w:tc>
          <w:tcPr>
            <w:tcW w:w="9458" w:type="dxa"/>
            <w:tcBorders>
              <w:top w:val="nil"/>
            </w:tcBorders>
          </w:tcPr>
          <w:p>
            <w:pPr>
              <w:spacing w:line="300" w:lineRule="auto"/>
              <w:jc w:val="left"/>
              <w:rPr>
                <w:rFonts w:hint="eastAsia" w:ascii="宋体" w:hAnsi="宋体"/>
                <w:sz w:val="24"/>
              </w:rPr>
            </w:pPr>
          </w:p>
          <w:p>
            <w:pPr>
              <w:spacing w:line="300" w:lineRule="auto"/>
              <w:jc w:val="left"/>
              <w:rPr>
                <w:rFonts w:hint="eastAsia" w:ascii="宋体" w:hAnsi="宋体"/>
                <w:sz w:val="24"/>
              </w:rPr>
            </w:pPr>
          </w:p>
          <w:p>
            <w:pPr>
              <w:spacing w:line="300" w:lineRule="auto"/>
              <w:jc w:val="left"/>
              <w:rPr>
                <w:rFonts w:hint="eastAsia" w:ascii="宋体" w:hAnsi="宋体"/>
                <w:sz w:val="24"/>
              </w:rPr>
            </w:pPr>
          </w:p>
          <w:p>
            <w:pPr>
              <w:spacing w:line="300" w:lineRule="auto"/>
              <w:jc w:val="left"/>
              <w:rPr>
                <w:rFonts w:hint="eastAsia" w:ascii="宋体" w:hAnsi="宋体"/>
                <w:sz w:val="24"/>
              </w:rPr>
            </w:pPr>
          </w:p>
          <w:p>
            <w:pPr>
              <w:spacing w:line="300" w:lineRule="auto"/>
              <w:jc w:val="left"/>
              <w:rPr>
                <w:rFonts w:hint="eastAsia" w:ascii="宋体" w:hAnsi="宋体"/>
                <w:sz w:val="24"/>
              </w:rPr>
            </w:pPr>
          </w:p>
          <w:p>
            <w:pPr>
              <w:spacing w:line="300" w:lineRule="auto"/>
              <w:jc w:val="left"/>
              <w:rPr>
                <w:rFonts w:hint="eastAsia" w:ascii="宋体" w:hAnsi="宋体"/>
                <w:sz w:val="24"/>
              </w:rPr>
            </w:pPr>
          </w:p>
          <w:p>
            <w:pPr>
              <w:spacing w:line="300" w:lineRule="auto"/>
              <w:jc w:val="left"/>
              <w:rPr>
                <w:rFonts w:hint="eastAsia" w:ascii="宋体" w:hAnsi="宋体"/>
                <w:sz w:val="24"/>
              </w:rPr>
            </w:pPr>
          </w:p>
          <w:p>
            <w:pPr>
              <w:tabs>
                <w:tab w:val="left" w:pos="5411"/>
              </w:tabs>
              <w:spacing w:after="156" w:afterLines="50" w:line="360" w:lineRule="auto"/>
              <w:ind w:right="964"/>
              <w:jc w:val="center"/>
              <w:rPr>
                <w:rFonts w:hint="eastAsia" w:ascii="仿宋_GB2312" w:hAnsi="宋体" w:eastAsia="仿宋_GB2312"/>
                <w:b/>
                <w:sz w:val="24"/>
              </w:rPr>
            </w:pPr>
            <w:r>
              <w:rPr>
                <w:rFonts w:hint="eastAsia" w:ascii="仿宋_GB2312" w:hAnsi="宋体" w:eastAsia="仿宋_GB2312"/>
                <w:b/>
                <w:sz w:val="24"/>
              </w:rPr>
              <w:t xml:space="preserve">   </w:t>
            </w:r>
            <w:r>
              <w:rPr>
                <w:rFonts w:ascii="仿宋_GB2312" w:hAnsi="宋体" w:eastAsia="仿宋_GB2312"/>
                <w:b/>
                <w:sz w:val="24"/>
              </w:rPr>
              <w:t xml:space="preserve">                               </w:t>
            </w:r>
            <w:r>
              <w:rPr>
                <w:rFonts w:hint="eastAsia" w:ascii="仿宋_GB2312" w:hAnsi="宋体" w:eastAsia="仿宋_GB2312"/>
                <w:b/>
                <w:sz w:val="24"/>
              </w:rPr>
              <w:t xml:space="preserve">指导教师签字：                 </w:t>
            </w:r>
          </w:p>
          <w:p>
            <w:pPr>
              <w:spacing w:line="300" w:lineRule="auto"/>
              <w:ind w:firstLine="7951" w:firstLineChars="3300"/>
              <w:rPr>
                <w:rFonts w:hint="eastAsia" w:ascii="仿宋_GB2312" w:hAnsi="宋体" w:eastAsia="仿宋_GB2312"/>
                <w:sz w:val="24"/>
              </w:rPr>
            </w:pPr>
            <w:r>
              <w:rPr>
                <w:rFonts w:hint="eastAsia" w:ascii="仿宋_GB2312" w:hAnsi="宋体" w:eastAsia="仿宋_GB2312"/>
                <w:b/>
                <w:sz w:val="24"/>
              </w:rPr>
              <w:t>年  月  日</w:t>
            </w:r>
          </w:p>
        </w:tc>
      </w:tr>
    </w:tbl>
    <w:p>
      <w:pPr>
        <w:spacing w:before="312" w:beforeLines="100" w:after="156" w:afterLines="50"/>
        <w:rPr>
          <w:rFonts w:hint="eastAsia"/>
          <w:b/>
          <w:sz w:val="32"/>
          <w:szCs w:val="32"/>
        </w:rPr>
      </w:pPr>
    </w:p>
    <w:p>
      <w:pPr>
        <w:spacing w:before="312" w:beforeLines="100" w:after="156" w:afterLines="50"/>
        <w:rPr>
          <w:rFonts w:hint="eastAsia"/>
          <w:b/>
          <w:sz w:val="32"/>
          <w:szCs w:val="32"/>
        </w:rPr>
      </w:pPr>
      <w:r>
        <w:rPr>
          <w:rFonts w:hint="eastAsia"/>
          <w:b/>
          <w:sz w:val="32"/>
          <w:szCs w:val="32"/>
        </w:rPr>
        <w:t>九、审查意见</w:t>
      </w:r>
    </w:p>
    <w:tbl>
      <w:tblPr>
        <w:tblStyle w:val="12"/>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6" w:hRule="atLeast"/>
          <w:jc w:val="center"/>
        </w:trPr>
        <w:tc>
          <w:tcPr>
            <w:tcW w:w="481" w:type="dxa"/>
            <w:vAlign w:val="center"/>
          </w:tcPr>
          <w:p>
            <w:pPr>
              <w:rPr>
                <w:rFonts w:hint="eastAsia"/>
                <w:b/>
                <w:sz w:val="24"/>
              </w:rPr>
            </w:pPr>
            <w:r>
              <w:rPr>
                <w:rFonts w:hint="eastAsia"/>
                <w:b/>
                <w:sz w:val="24"/>
              </w:rPr>
              <w:t>答辩专家组意见</w:t>
            </w:r>
          </w:p>
        </w:tc>
        <w:tc>
          <w:tcPr>
            <w:tcW w:w="9458" w:type="dxa"/>
          </w:tcPr>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wordWrap w:val="0"/>
              <w:spacing w:after="156" w:afterLines="50" w:line="360" w:lineRule="auto"/>
              <w:jc w:val="right"/>
              <w:rPr>
                <w:rFonts w:hint="eastAsia" w:ascii="仿宋_GB2312" w:hAnsi="宋体" w:eastAsia="仿宋_GB2312"/>
                <w:b/>
                <w:sz w:val="24"/>
              </w:rPr>
            </w:pPr>
          </w:p>
          <w:p>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答辩专家组签字：                </w:t>
            </w:r>
          </w:p>
          <w:p>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3"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pPr>
              <w:rPr>
                <w:rFonts w:hint="eastAsia"/>
                <w:b/>
                <w:sz w:val="24"/>
              </w:rPr>
            </w:pPr>
            <w:r>
              <w:rPr>
                <w:rFonts w:hint="eastAsia"/>
                <w:b/>
                <w:sz w:val="24"/>
              </w:rPr>
              <w:t>学院意见</w:t>
            </w:r>
          </w:p>
        </w:tc>
        <w:tc>
          <w:tcPr>
            <w:tcW w:w="9458" w:type="dxa"/>
            <w:tcBorders>
              <w:top w:val="single" w:color="auto" w:sz="4" w:space="0"/>
              <w:left w:val="single" w:color="auto" w:sz="4" w:space="0"/>
              <w:bottom w:val="single" w:color="auto" w:sz="4" w:space="0"/>
              <w:right w:val="single" w:color="auto" w:sz="4" w:space="0"/>
            </w:tcBorders>
          </w:tcPr>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学院负责人签字：                </w:t>
            </w:r>
          </w:p>
          <w:p>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pPr>
              <w:spacing w:line="300" w:lineRule="auto"/>
              <w:jc w:val="right"/>
              <w:rPr>
                <w:rFonts w:hint="eastAsia" w:ascii="仿宋_GB2312" w:hAnsi="宋体" w:eastAsia="仿宋_GB2312"/>
                <w:szCs w:val="21"/>
              </w:rPr>
            </w:pPr>
            <w:r>
              <w:rPr>
                <w:rFonts w:hint="eastAsia" w:ascii="仿宋_GB2312" w:hAnsi="宋体" w:eastAsia="仿宋_GB2312"/>
                <w:sz w:val="24"/>
              </w:rPr>
              <w:t>（学院盖章）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6"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pPr>
              <w:rPr>
                <w:rFonts w:hint="eastAsia"/>
                <w:b/>
                <w:sz w:val="24"/>
              </w:rPr>
            </w:pPr>
            <w:r>
              <w:rPr>
                <w:rFonts w:hint="eastAsia"/>
                <w:b/>
                <w:sz w:val="24"/>
              </w:rPr>
              <w:t>学校意见</w:t>
            </w:r>
          </w:p>
        </w:tc>
        <w:tc>
          <w:tcPr>
            <w:tcW w:w="9458" w:type="dxa"/>
            <w:tcBorders>
              <w:top w:val="single" w:color="auto" w:sz="4" w:space="0"/>
              <w:left w:val="single" w:color="auto" w:sz="4" w:space="0"/>
              <w:bottom w:val="single" w:color="auto" w:sz="4" w:space="0"/>
              <w:right w:val="single" w:color="auto" w:sz="4" w:space="0"/>
            </w:tcBorders>
          </w:tcPr>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spacing w:line="300" w:lineRule="auto"/>
              <w:rPr>
                <w:rFonts w:hint="eastAsia" w:ascii="宋体" w:hAnsi="宋体"/>
                <w:sz w:val="24"/>
                <w:szCs w:val="21"/>
              </w:rPr>
            </w:pPr>
          </w:p>
          <w:p>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负责人签字：                </w:t>
            </w:r>
          </w:p>
          <w:p>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pPr>
              <w:spacing w:line="300" w:lineRule="auto"/>
              <w:jc w:val="right"/>
              <w:rPr>
                <w:rFonts w:hint="eastAsia" w:ascii="仿宋_GB2312" w:hAnsi="宋体" w:eastAsia="仿宋_GB2312"/>
                <w:szCs w:val="21"/>
              </w:rPr>
            </w:pPr>
            <w:r>
              <w:rPr>
                <w:rFonts w:hint="eastAsia" w:ascii="仿宋_GB2312" w:hAnsi="宋体" w:eastAsia="仿宋_GB2312"/>
                <w:sz w:val="24"/>
              </w:rPr>
              <w:t>（盖章）</w:t>
            </w:r>
          </w:p>
        </w:tc>
      </w:tr>
      <w:bookmarkEnd w:id="0"/>
      <w:bookmarkEnd w:id="1"/>
    </w:tbl>
    <w:p>
      <w:pPr>
        <w:rPr>
          <w:rFonts w:hint="eastAsia"/>
        </w:rPr>
      </w:pPr>
    </w:p>
    <w:p>
      <w:pPr>
        <w:pStyle w:val="2"/>
        <w:jc w:val="center"/>
        <w:rPr>
          <w:rFonts w:ascii="Times New Roman" w:hAnsi="Times New Roman"/>
          <w:snapToGrid w:val="0"/>
          <w:kern w:val="0"/>
        </w:rPr>
      </w:pPr>
      <w:r>
        <w:rPr>
          <w:rFonts w:hint="eastAsia" w:ascii="仿宋_GB2312" w:eastAsia="仿宋_GB2312"/>
        </w:rPr>
        <w:t>附：</w:t>
      </w:r>
      <w:r>
        <w:rPr>
          <w:rFonts w:hint="eastAsia" w:ascii="Times New Roman"/>
          <w:snapToGrid w:val="0"/>
          <w:kern w:val="0"/>
        </w:rPr>
        <w:t>华东理工</w:t>
      </w:r>
      <w:r>
        <w:rPr>
          <w:rFonts w:ascii="Times New Roman"/>
          <w:snapToGrid w:val="0"/>
          <w:kern w:val="0"/>
        </w:rPr>
        <w:t>大学</w:t>
      </w:r>
      <w:r>
        <w:rPr>
          <w:rFonts w:hint="eastAsia" w:ascii="Times New Roman"/>
          <w:snapToGrid w:val="0"/>
          <w:kern w:val="0"/>
        </w:rPr>
        <w:t>“</w:t>
      </w:r>
      <w:r>
        <w:rPr>
          <w:rFonts w:ascii="Times New Roman"/>
          <w:snapToGrid w:val="0"/>
          <w:kern w:val="0"/>
        </w:rPr>
        <w:t>大学生</w:t>
      </w:r>
      <w:r>
        <w:rPr>
          <w:rFonts w:hint="eastAsia" w:ascii="Times New Roman"/>
          <w:snapToGrid w:val="0"/>
          <w:kern w:val="0"/>
        </w:rPr>
        <w:t>创新创业训练</w:t>
      </w:r>
      <w:r>
        <w:rPr>
          <w:rFonts w:ascii="Times New Roman"/>
          <w:snapToGrid w:val="0"/>
          <w:kern w:val="0"/>
        </w:rPr>
        <w:t>计划</w:t>
      </w:r>
      <w:r>
        <w:rPr>
          <w:rFonts w:hint="eastAsia" w:ascii="Times New Roman"/>
          <w:snapToGrid w:val="0"/>
          <w:kern w:val="0"/>
        </w:rPr>
        <w:t>”</w:t>
      </w:r>
      <w:r>
        <w:rPr>
          <w:rFonts w:ascii="Times New Roman"/>
          <w:snapToGrid w:val="0"/>
          <w:kern w:val="0"/>
        </w:rPr>
        <w:t>项目承诺书</w:t>
      </w:r>
    </w:p>
    <w:p>
      <w:pPr>
        <w:adjustRightInd w:val="0"/>
        <w:snapToGrid w:val="0"/>
        <w:spacing w:line="360" w:lineRule="auto"/>
        <w:ind w:firstLine="508" w:firstLineChars="212"/>
        <w:rPr>
          <w:rFonts w:hint="eastAsia" w:ascii="华文隶书" w:eastAsia="华文隶书"/>
          <w:snapToGrid w:val="0"/>
          <w:color w:val="000000"/>
          <w:kern w:val="0"/>
          <w:sz w:val="24"/>
          <w:szCs w:val="23"/>
        </w:rPr>
      </w:pPr>
    </w:p>
    <w:p>
      <w:pPr>
        <w:adjustRightInd w:val="0"/>
        <w:snapToGrid w:val="0"/>
        <w:spacing w:line="360" w:lineRule="auto"/>
        <w:ind w:firstLine="508" w:firstLineChars="212"/>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为确保</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”项目的</w:t>
      </w:r>
      <w:r>
        <w:rPr>
          <w:rFonts w:hint="eastAsia" w:ascii="仿宋_GB2312" w:hAnsi="宋体" w:eastAsia="仿宋_GB2312"/>
          <w:snapToGrid w:val="0"/>
          <w:color w:val="000000"/>
          <w:kern w:val="0"/>
          <w:sz w:val="24"/>
          <w:szCs w:val="23"/>
        </w:rPr>
        <w:t>顺利实施，本项目承诺遵守以下条款要求：</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1  </w:t>
      </w:r>
      <w:r>
        <w:rPr>
          <w:rFonts w:hint="eastAsia" w:ascii="仿宋_GB2312" w:eastAsia="仿宋_GB2312"/>
          <w:sz w:val="24"/>
        </w:rPr>
        <w:t>在项目实施的过程中遵守学校有关规定，恪守学术规范，真正做到诚实守信，实事求是；</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2  </w:t>
      </w:r>
      <w:r>
        <w:rPr>
          <w:rFonts w:hint="eastAsia" w:ascii="仿宋_GB2312" w:hAnsi="宋体" w:eastAsia="仿宋_GB2312"/>
          <w:snapToGrid w:val="0"/>
          <w:color w:val="000000"/>
          <w:kern w:val="0"/>
          <w:sz w:val="24"/>
          <w:szCs w:val="23"/>
        </w:rPr>
        <w:t>项目经费严格按学校</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项目管理的有关规定执行，按照专款专用原则，</w:t>
      </w:r>
      <w:r>
        <w:rPr>
          <w:rFonts w:hint="eastAsia" w:ascii="仿宋_GB2312" w:eastAsia="仿宋_GB2312"/>
          <w:sz w:val="24"/>
        </w:rPr>
        <w:t>保证项目经费的有效合理使用</w:t>
      </w:r>
      <w:r>
        <w:rPr>
          <w:rFonts w:hint="eastAsia" w:ascii="仿宋_GB2312" w:hAnsi="宋体" w:eastAsia="仿宋_GB2312"/>
          <w:snapToGrid w:val="0"/>
          <w:color w:val="000000"/>
          <w:kern w:val="0"/>
          <w:sz w:val="24"/>
          <w:szCs w:val="23"/>
        </w:rPr>
        <w:t>；</w:t>
      </w:r>
      <w:r>
        <w:rPr>
          <w:rFonts w:hint="eastAsia" w:ascii="仿宋_GB2312" w:eastAsia="仿宋_GB2312"/>
          <w:snapToGrid w:val="0"/>
          <w:color w:val="000000"/>
          <w:kern w:val="0"/>
          <w:sz w:val="24"/>
          <w:szCs w:val="23"/>
        </w:rPr>
        <w:t xml:space="preserve"> </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3  </w:t>
      </w:r>
      <w:r>
        <w:rPr>
          <w:rFonts w:hint="eastAsia" w:ascii="仿宋_GB2312" w:hAnsi="宋体" w:eastAsia="仿宋_GB2312"/>
          <w:snapToGrid w:val="0"/>
          <w:color w:val="000000"/>
          <w:kern w:val="0"/>
          <w:sz w:val="24"/>
          <w:szCs w:val="23"/>
        </w:rPr>
        <w:t>接受学校及学院对本项目的检查与监督；</w:t>
      </w:r>
    </w:p>
    <w:p>
      <w:pPr>
        <w:adjustRightInd w:val="0"/>
        <w:snapToGrid w:val="0"/>
        <w:spacing w:line="360" w:lineRule="auto"/>
        <w:ind w:firstLine="513" w:firstLineChars="214"/>
        <w:rPr>
          <w:rFonts w:hint="eastAsia" w:ascii="仿宋_GB2312" w:eastAsia="仿宋_GB2312"/>
          <w:sz w:val="24"/>
        </w:rPr>
      </w:pPr>
      <w:r>
        <w:rPr>
          <w:rFonts w:hint="eastAsia" w:ascii="仿宋_GB2312" w:eastAsia="仿宋_GB2312"/>
          <w:snapToGrid w:val="0"/>
          <w:color w:val="000000"/>
          <w:kern w:val="0"/>
          <w:sz w:val="24"/>
          <w:szCs w:val="23"/>
        </w:rPr>
        <w:t>4</w:t>
      </w:r>
      <w:r>
        <w:rPr>
          <w:rFonts w:hint="eastAsia" w:ascii="仿宋_GB2312" w:hAnsi="宋体" w:eastAsia="仿宋_GB2312"/>
          <w:snapToGrid w:val="0"/>
          <w:color w:val="000000"/>
          <w:kern w:val="0"/>
          <w:sz w:val="24"/>
          <w:szCs w:val="23"/>
        </w:rPr>
        <w:t>．</w:t>
      </w:r>
      <w:r>
        <w:rPr>
          <w:rFonts w:hint="eastAsia" w:ascii="仿宋_GB2312" w:eastAsia="仿宋_GB2312"/>
          <w:sz w:val="24"/>
        </w:rPr>
        <w:t>保证研究项目的有序进行，并按华东理工大学“大学生创新创业训练计划”项目管理办法的要求</w:t>
      </w:r>
      <w:r>
        <w:rPr>
          <w:rFonts w:hint="eastAsia" w:ascii="仿宋_GB2312" w:hAnsi="宋体" w:eastAsia="仿宋_GB2312"/>
          <w:sz w:val="24"/>
        </w:rPr>
        <w:t>，接受学校的中期检查。</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z w:val="24"/>
        </w:rPr>
        <w:t xml:space="preserve">5  </w:t>
      </w:r>
      <w:r>
        <w:rPr>
          <w:rFonts w:hint="eastAsia" w:ascii="仿宋_GB2312" w:hAnsi="宋体" w:eastAsia="仿宋_GB2312"/>
          <w:sz w:val="24"/>
        </w:rPr>
        <w:t>按期完成研究项目</w:t>
      </w:r>
      <w:r>
        <w:rPr>
          <w:rFonts w:hint="eastAsia" w:ascii="仿宋_GB2312" w:hAnsi="宋体" w:eastAsia="仿宋_GB2312"/>
          <w:sz w:val="24"/>
          <w:szCs w:val="23"/>
        </w:rPr>
        <w:t>并由负责人提交结题报告及有关研究成果、</w:t>
      </w:r>
      <w:r>
        <w:rPr>
          <w:rFonts w:hint="eastAsia" w:ascii="仿宋_GB2312" w:hAnsi="宋体" w:eastAsia="仿宋_GB2312"/>
          <w:snapToGrid w:val="0"/>
          <w:color w:val="000000"/>
          <w:kern w:val="0"/>
          <w:sz w:val="24"/>
          <w:szCs w:val="23"/>
        </w:rPr>
        <w:t>项目经费决算（含使用明细）、等材料，并且归还仪器设备、工具、资料等；</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6  </w:t>
      </w:r>
      <w:r>
        <w:rPr>
          <w:rFonts w:hint="eastAsia" w:ascii="仿宋_GB2312" w:hAnsi="宋体" w:eastAsia="仿宋_GB2312"/>
          <w:snapToGrid w:val="0"/>
          <w:color w:val="000000"/>
          <w:kern w:val="0"/>
          <w:sz w:val="24"/>
          <w:szCs w:val="23"/>
        </w:rPr>
        <w:t>因主观原因致使项目无法执行的，将根据实际情况退回全部或部分资助经费；</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7  </w:t>
      </w:r>
      <w:r>
        <w:rPr>
          <w:rFonts w:hint="eastAsia" w:ascii="仿宋_GB2312" w:hAnsi="宋体" w:eastAsia="仿宋_GB2312"/>
          <w:snapToGrid w:val="0"/>
          <w:color w:val="000000"/>
          <w:kern w:val="0"/>
          <w:sz w:val="24"/>
          <w:szCs w:val="23"/>
        </w:rPr>
        <w:t>研究成果如果需要按技术秘密进行保密的，项目负责人及指导教师应制定具体方案并报学校批准；</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8  </w:t>
      </w:r>
      <w:r>
        <w:rPr>
          <w:rFonts w:hint="eastAsia" w:ascii="仿宋_GB2312" w:hAnsi="宋体" w:eastAsia="仿宋_GB2312"/>
          <w:snapToGrid w:val="0"/>
          <w:color w:val="000000"/>
          <w:kern w:val="0"/>
          <w:sz w:val="24"/>
          <w:szCs w:val="23"/>
        </w:rPr>
        <w:t>凡研究工作有发明创造，经学校科研院审查符合条件的，可由科研院协助申报专利，以保护知识产权，维护学校的合法权益；</w:t>
      </w:r>
    </w:p>
    <w:p>
      <w:pPr>
        <w:adjustRightInd w:val="0"/>
        <w:snapToGrid w:val="0"/>
        <w:spacing w:line="360" w:lineRule="auto"/>
        <w:ind w:firstLine="513" w:firstLineChars="214"/>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9  </w:t>
      </w:r>
      <w:r>
        <w:rPr>
          <w:rFonts w:hint="eastAsia" w:ascii="仿宋_GB2312" w:hAnsi="宋体" w:eastAsia="仿宋_GB2312"/>
          <w:snapToGrid w:val="0"/>
          <w:color w:val="000000"/>
          <w:kern w:val="0"/>
          <w:sz w:val="24"/>
          <w:szCs w:val="23"/>
        </w:rPr>
        <w:t>本承诺书由本项目全体成员及指导老师签字并经创新创业教育中心确认后生效，如有违反，愿承担相应责任。</w:t>
      </w:r>
    </w:p>
    <w:p>
      <w:pPr>
        <w:adjustRightInd w:val="0"/>
        <w:snapToGrid w:val="0"/>
        <w:spacing w:line="360" w:lineRule="auto"/>
        <w:ind w:firstLine="480" w:firstLineChars="200"/>
        <w:rPr>
          <w:rFonts w:hint="eastAsia" w:ascii="仿宋_GB2312" w:eastAsia="仿宋_GB2312"/>
          <w:snapToGrid w:val="0"/>
          <w:color w:val="000000"/>
          <w:kern w:val="0"/>
          <w:sz w:val="24"/>
          <w:szCs w:val="23"/>
        </w:rPr>
      </w:pPr>
    </w:p>
    <w:p>
      <w:pPr>
        <w:adjustRightInd w:val="0"/>
        <w:snapToGrid w:val="0"/>
        <w:spacing w:line="360" w:lineRule="auto"/>
        <w:ind w:firstLine="480" w:firstLineChars="200"/>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项目成员（签字）：</w:t>
      </w:r>
      <w:r>
        <w:rPr>
          <w:rFonts w:hint="eastAsia" w:ascii="仿宋_GB2312" w:eastAsia="仿宋_GB2312"/>
          <w:snapToGrid w:val="0"/>
          <w:color w:val="000000"/>
          <w:kern w:val="0"/>
          <w:sz w:val="24"/>
          <w:szCs w:val="23"/>
        </w:rPr>
        <w:t xml:space="preserve">                               </w:t>
      </w:r>
    </w:p>
    <w:p>
      <w:pPr>
        <w:tabs>
          <w:tab w:val="right" w:pos="9070"/>
        </w:tabs>
        <w:adjustRightInd w:val="0"/>
        <w:snapToGrid w:val="0"/>
        <w:spacing w:line="360" w:lineRule="auto"/>
        <w:ind w:firstLine="480" w:firstLineChars="200"/>
        <w:rPr>
          <w:rFonts w:hint="eastAsia"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指导教师（签字）：</w:t>
      </w:r>
      <w:r>
        <w:rPr>
          <w:rFonts w:hint="eastAsia" w:ascii="仿宋_GB2312" w:eastAsia="仿宋_GB2312"/>
          <w:snapToGrid w:val="0"/>
          <w:color w:val="000000"/>
          <w:kern w:val="0"/>
          <w:sz w:val="24"/>
          <w:szCs w:val="23"/>
        </w:rPr>
        <w:t xml:space="preserve">  </w:t>
      </w:r>
    </w:p>
    <w:p>
      <w:pPr>
        <w:adjustRightInd w:val="0"/>
        <w:snapToGrid w:val="0"/>
        <w:spacing w:line="360" w:lineRule="auto"/>
        <w:ind w:left="4139" w:leftChars="1971" w:firstLine="2160" w:firstLineChars="900"/>
        <w:rPr>
          <w:rFonts w:hint="eastAsia" w:ascii="仿宋_GB2312" w:eastAsia="仿宋_GB2312"/>
          <w:snapToGrid w:val="0"/>
          <w:color w:val="000000"/>
          <w:kern w:val="0"/>
          <w:sz w:val="24"/>
          <w:szCs w:val="23"/>
        </w:rPr>
      </w:pPr>
    </w:p>
    <w:p>
      <w:pPr>
        <w:wordWrap w:val="0"/>
        <w:adjustRightInd w:val="0"/>
        <w:snapToGrid w:val="0"/>
        <w:spacing w:line="360" w:lineRule="auto"/>
        <w:ind w:left="4139" w:leftChars="1971" w:firstLine="2160" w:firstLineChars="900"/>
        <w:jc w:val="right"/>
        <w:rPr>
          <w:rFonts w:hint="eastAsia"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      年      月     日 </w:t>
      </w:r>
    </w:p>
    <w:p>
      <w:pPr>
        <w:tabs>
          <w:tab w:val="left" w:pos="540"/>
        </w:tabs>
        <w:adjustRightInd w:val="0"/>
        <w:snapToGrid w:val="0"/>
        <w:spacing w:line="360" w:lineRule="auto"/>
        <w:ind w:left="4139" w:leftChars="1971" w:firstLine="1680" w:firstLineChars="700"/>
        <w:rPr>
          <w:rFonts w:hint="eastAsia" w:ascii="仿宋_GB2312" w:eastAsia="仿宋_GB2312"/>
          <w:snapToGrid w:val="0"/>
          <w:color w:val="000000"/>
          <w:kern w:val="0"/>
          <w:sz w:val="24"/>
          <w:szCs w:val="23"/>
        </w:rPr>
      </w:pPr>
    </w:p>
    <w:p>
      <w:pPr>
        <w:tabs>
          <w:tab w:val="left" w:pos="540"/>
        </w:tabs>
        <w:adjustRightInd w:val="0"/>
        <w:snapToGrid w:val="0"/>
        <w:spacing w:line="360" w:lineRule="auto"/>
        <w:ind w:left="4139" w:leftChars="1971" w:firstLine="1680" w:firstLineChars="700"/>
        <w:rPr>
          <w:rFonts w:hint="eastAsia" w:ascii="仿宋_GB2312" w:eastAsia="仿宋_GB2312"/>
          <w:snapToGrid w:val="0"/>
          <w:color w:val="000000"/>
          <w:kern w:val="0"/>
          <w:sz w:val="24"/>
          <w:szCs w:val="23"/>
        </w:rPr>
      </w:pPr>
    </w:p>
    <w:p>
      <w:pPr>
        <w:adjustRightInd w:val="0"/>
        <w:snapToGrid w:val="0"/>
        <w:spacing w:line="360" w:lineRule="auto"/>
        <w:ind w:left="933" w:leftChars="1" w:hanging="931" w:hangingChars="388"/>
        <w:rPr>
          <w:rFonts w:hint="eastAsia" w:ascii="仿宋_GB2312" w:eastAsia="仿宋_GB2312"/>
          <w:sz w:val="32"/>
        </w:rPr>
      </w:pPr>
      <w:r>
        <w:rPr>
          <w:rFonts w:hint="eastAsia" w:ascii="仿宋_GB2312" w:hAnsi="宋体" w:eastAsia="仿宋_GB2312"/>
          <w:snapToGrid w:val="0"/>
          <w:color w:val="000000"/>
          <w:kern w:val="0"/>
          <w:sz w:val="24"/>
          <w:szCs w:val="23"/>
        </w:rPr>
        <w:t>说明</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本承诺书是华东理工大学“大学生创新创业训练计划”项目管理和经费划拨的依据。</w:t>
      </w:r>
    </w:p>
    <w:sectPr>
      <w:headerReference r:id="rId3" w:type="default"/>
      <w:footerReference r:id="rId4" w:type="default"/>
      <w:footerReference r:id="rId5" w:type="even"/>
      <w:pgSz w:w="11906" w:h="16838"/>
      <w:pgMar w:top="1134" w:right="1418" w:bottom="1134" w:left="1418"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0000000000000000000"/>
    <w:charset w:val="86"/>
    <w:family w:val="script"/>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ulim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swiss"/>
    <w:pitch w:val="default"/>
    <w:sig w:usb0="80000287" w:usb1="2ACF3C50" w:usb2="00000016" w:usb3="00000000" w:csb0="0004001F" w:csb1="00000000"/>
  </w:font>
  <w:font w:name="华文隶书">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lang w:val="en-US" w:eastAsia="zh-CN"/>
      </w:rPr>
      <w:t>- 8 -</w:t>
    </w:r>
    <w: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1F619A"/>
    <w:multiLevelType w:val="multilevel"/>
    <w:tmpl w:val="791F619A"/>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DBkMWQ0ZDRkOWZmMjZlNjExNWEzNTE3NmIyNmFlYTEifQ=="/>
  </w:docVars>
  <w:rsids>
    <w:rsidRoot w:val="008E2D8F"/>
    <w:rsid w:val="00002026"/>
    <w:rsid w:val="00005D47"/>
    <w:rsid w:val="000335FC"/>
    <w:rsid w:val="00034561"/>
    <w:rsid w:val="00041EE6"/>
    <w:rsid w:val="00073EB2"/>
    <w:rsid w:val="00083E2C"/>
    <w:rsid w:val="00093D89"/>
    <w:rsid w:val="00097B76"/>
    <w:rsid w:val="000F6421"/>
    <w:rsid w:val="00115560"/>
    <w:rsid w:val="00115608"/>
    <w:rsid w:val="001251EE"/>
    <w:rsid w:val="00187907"/>
    <w:rsid w:val="001B0A9C"/>
    <w:rsid w:val="001B2B19"/>
    <w:rsid w:val="001C33B4"/>
    <w:rsid w:val="001D67F1"/>
    <w:rsid w:val="00206B1A"/>
    <w:rsid w:val="00286410"/>
    <w:rsid w:val="002E54F4"/>
    <w:rsid w:val="00340BB1"/>
    <w:rsid w:val="0036748C"/>
    <w:rsid w:val="00372A01"/>
    <w:rsid w:val="003742C8"/>
    <w:rsid w:val="003A5CDA"/>
    <w:rsid w:val="003C118E"/>
    <w:rsid w:val="003D114A"/>
    <w:rsid w:val="003F5B23"/>
    <w:rsid w:val="00496C1C"/>
    <w:rsid w:val="004B1695"/>
    <w:rsid w:val="004E010B"/>
    <w:rsid w:val="004F6297"/>
    <w:rsid w:val="00545796"/>
    <w:rsid w:val="0056330F"/>
    <w:rsid w:val="0056753C"/>
    <w:rsid w:val="00572A84"/>
    <w:rsid w:val="005B532C"/>
    <w:rsid w:val="005B7DE8"/>
    <w:rsid w:val="005C33A2"/>
    <w:rsid w:val="005F7F6B"/>
    <w:rsid w:val="00610FB7"/>
    <w:rsid w:val="00625803"/>
    <w:rsid w:val="00627D15"/>
    <w:rsid w:val="00633810"/>
    <w:rsid w:val="00646085"/>
    <w:rsid w:val="006529D4"/>
    <w:rsid w:val="00682ED3"/>
    <w:rsid w:val="006A761A"/>
    <w:rsid w:val="006E2A17"/>
    <w:rsid w:val="007337EA"/>
    <w:rsid w:val="00736938"/>
    <w:rsid w:val="007850DD"/>
    <w:rsid w:val="00795C44"/>
    <w:rsid w:val="007A68F5"/>
    <w:rsid w:val="007D10ED"/>
    <w:rsid w:val="007F458B"/>
    <w:rsid w:val="00823B15"/>
    <w:rsid w:val="00831DC7"/>
    <w:rsid w:val="00883DA1"/>
    <w:rsid w:val="008D591E"/>
    <w:rsid w:val="008E2D8F"/>
    <w:rsid w:val="008F3C87"/>
    <w:rsid w:val="00917D2A"/>
    <w:rsid w:val="00943E1A"/>
    <w:rsid w:val="00950C1A"/>
    <w:rsid w:val="009556E1"/>
    <w:rsid w:val="0098682A"/>
    <w:rsid w:val="009C11F5"/>
    <w:rsid w:val="009E147D"/>
    <w:rsid w:val="00A02C7B"/>
    <w:rsid w:val="00A32F87"/>
    <w:rsid w:val="00A44665"/>
    <w:rsid w:val="00A7681D"/>
    <w:rsid w:val="00A80EEB"/>
    <w:rsid w:val="00AB5EB3"/>
    <w:rsid w:val="00AD58F8"/>
    <w:rsid w:val="00AF624A"/>
    <w:rsid w:val="00B11593"/>
    <w:rsid w:val="00B14222"/>
    <w:rsid w:val="00B22A6C"/>
    <w:rsid w:val="00B22C2D"/>
    <w:rsid w:val="00B236AD"/>
    <w:rsid w:val="00B2472F"/>
    <w:rsid w:val="00B423EA"/>
    <w:rsid w:val="00B42739"/>
    <w:rsid w:val="00B715B0"/>
    <w:rsid w:val="00B724C5"/>
    <w:rsid w:val="00B752E0"/>
    <w:rsid w:val="00BB3BA2"/>
    <w:rsid w:val="00BC43A9"/>
    <w:rsid w:val="00BD4122"/>
    <w:rsid w:val="00BD627A"/>
    <w:rsid w:val="00BF3585"/>
    <w:rsid w:val="00C074B5"/>
    <w:rsid w:val="00C44679"/>
    <w:rsid w:val="00C47A26"/>
    <w:rsid w:val="00C47F25"/>
    <w:rsid w:val="00C71105"/>
    <w:rsid w:val="00C9263C"/>
    <w:rsid w:val="00C97BE0"/>
    <w:rsid w:val="00CB06AC"/>
    <w:rsid w:val="00CE2151"/>
    <w:rsid w:val="00D0077A"/>
    <w:rsid w:val="00D30FB5"/>
    <w:rsid w:val="00DB74AE"/>
    <w:rsid w:val="00DD6847"/>
    <w:rsid w:val="00DE0D70"/>
    <w:rsid w:val="00E0666C"/>
    <w:rsid w:val="00E36B6D"/>
    <w:rsid w:val="00EB3B95"/>
    <w:rsid w:val="00EF3375"/>
    <w:rsid w:val="00F3709B"/>
    <w:rsid w:val="00F822AB"/>
    <w:rsid w:val="00FA480E"/>
    <w:rsid w:val="00FB67C6"/>
    <w:rsid w:val="00FE01FA"/>
    <w:rsid w:val="00FE5F1D"/>
    <w:rsid w:val="00FF51CD"/>
    <w:rsid w:val="041A3C0C"/>
    <w:rsid w:val="0A5D430F"/>
    <w:rsid w:val="2220579D"/>
    <w:rsid w:val="37C47432"/>
    <w:rsid w:val="392C35FE"/>
    <w:rsid w:val="3BB969FE"/>
    <w:rsid w:val="41EE27FB"/>
    <w:rsid w:val="438D52AD"/>
    <w:rsid w:val="4A3B44AB"/>
    <w:rsid w:val="4B1C7B4A"/>
    <w:rsid w:val="5D190116"/>
    <w:rsid w:val="69285C31"/>
    <w:rsid w:val="6CD963E3"/>
    <w:rsid w:val="6FCE16C5"/>
    <w:rsid w:val="73AF2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8"/>
    <w:qFormat/>
    <w:uiPriority w:val="0"/>
    <w:pPr>
      <w:keepNext/>
      <w:keepLines/>
      <w:spacing w:before="260" w:after="260" w:line="416" w:lineRule="auto"/>
      <w:outlineLvl w:val="1"/>
    </w:pPr>
    <w:rPr>
      <w:rFonts w:ascii="Arial" w:hAnsi="Arial" w:eastAsia="黑体"/>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Document Map"/>
    <w:basedOn w:val="1"/>
    <w:link w:val="19"/>
    <w:qFormat/>
    <w:uiPriority w:val="0"/>
    <w:rPr>
      <w:rFonts w:ascii="宋体"/>
      <w:sz w:val="18"/>
      <w:szCs w:val="18"/>
    </w:rPr>
  </w:style>
  <w:style w:type="paragraph" w:styleId="4">
    <w:name w:val="Body Text Indent"/>
    <w:basedOn w:val="1"/>
    <w:uiPriority w:val="0"/>
    <w:pPr>
      <w:ind w:firstLine="412" w:firstLineChars="196"/>
    </w:pPr>
    <w:rPr>
      <w:bCs/>
    </w:rPr>
  </w:style>
  <w:style w:type="paragraph" w:styleId="5">
    <w:name w:val="Date"/>
    <w:basedOn w:val="1"/>
    <w:next w:val="1"/>
    <w:qFormat/>
    <w:uiPriority w:val="0"/>
    <w:pPr>
      <w:ind w:left="100" w:leftChars="2500"/>
    </w:pPr>
    <w:rPr>
      <w:rFonts w:eastAsia="华文楷体"/>
      <w:sz w:val="28"/>
    </w:rPr>
  </w:style>
  <w:style w:type="paragraph" w:styleId="6">
    <w:name w:val="Body Text Indent 2"/>
    <w:basedOn w:val="1"/>
    <w:uiPriority w:val="0"/>
    <w:pPr>
      <w:ind w:left="8" w:leftChars="4" w:firstLine="420" w:firstLineChars="200"/>
    </w:pPr>
    <w:rPr>
      <w:rFonts w:ascii="宋体" w:hAnsi="宋体"/>
      <w:szCs w:val="21"/>
    </w:rPr>
  </w:style>
  <w:style w:type="paragraph" w:styleId="7">
    <w:name w:val="Balloon Text"/>
    <w:basedOn w:val="1"/>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ind w:left="718" w:leftChars="342"/>
    </w:p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Strong"/>
    <w:qFormat/>
    <w:uiPriority w:val="0"/>
    <w:rPr>
      <w:b/>
      <w:bCs/>
    </w:rPr>
  </w:style>
  <w:style w:type="character" w:styleId="16">
    <w:name w:val="page number"/>
    <w:uiPriority w:val="0"/>
  </w:style>
  <w:style w:type="character" w:styleId="17">
    <w:name w:val="Hyperlink"/>
    <w:qFormat/>
    <w:uiPriority w:val="0"/>
    <w:rPr>
      <w:color w:val="333333"/>
      <w:u w:val="none"/>
    </w:rPr>
  </w:style>
  <w:style w:type="character" w:customStyle="1" w:styleId="18">
    <w:name w:val="标题 2 字符"/>
    <w:link w:val="2"/>
    <w:qFormat/>
    <w:uiPriority w:val="0"/>
    <w:rPr>
      <w:rFonts w:ascii="Arial" w:hAnsi="Arial" w:eastAsia="黑体"/>
      <w:b/>
      <w:bCs/>
      <w:kern w:val="2"/>
      <w:sz w:val="32"/>
      <w:szCs w:val="32"/>
    </w:rPr>
  </w:style>
  <w:style w:type="character" w:customStyle="1" w:styleId="19">
    <w:name w:val="文档结构图 字符"/>
    <w:link w:val="3"/>
    <w:qFormat/>
    <w:uiPriority w:val="0"/>
    <w:rPr>
      <w:rFonts w:ascii="宋体"/>
      <w:kern w:val="2"/>
      <w:sz w:val="18"/>
      <w:szCs w:val="18"/>
    </w:rPr>
  </w:style>
  <w:style w:type="character" w:customStyle="1" w:styleId="20">
    <w:name w:val=" Char Char1"/>
    <w:qFormat/>
    <w:uiPriority w:val="0"/>
    <w:rPr>
      <w:kern w:val="2"/>
      <w:sz w:val="18"/>
      <w:szCs w:val="18"/>
    </w:rPr>
  </w:style>
  <w:style w:type="character" w:customStyle="1" w:styleId="21">
    <w:name w:val="样式 正文缩进 + 仿宋_GB2312 Char"/>
    <w:qFormat/>
    <w:uiPriority w:val="0"/>
    <w:rPr>
      <w:rFonts w:ascii="仿宋_GB2312" w:hAnsi="仿宋_GB2312" w:eastAsia="仿宋_GB2312"/>
      <w:kern w:val="2"/>
      <w:sz w:val="28"/>
      <w:szCs w:val="24"/>
      <w:lang w:val="en-US" w:eastAsia="zh-CN" w:bidi="ar-SA"/>
    </w:rPr>
  </w:style>
  <w:style w:type="character" w:customStyle="1" w:styleId="22">
    <w:name w:val=" Char Char"/>
    <w:qFormat/>
    <w:uiPriority w:val="0"/>
    <w:rPr>
      <w:kern w:val="2"/>
      <w:sz w:val="18"/>
      <w:szCs w:val="18"/>
    </w:rPr>
  </w:style>
  <w:style w:type="character" w:customStyle="1" w:styleId="23">
    <w:name w:val="style31"/>
    <w:qFormat/>
    <w:uiPriority w:val="0"/>
    <w:rPr>
      <w:color w:val="000000"/>
    </w:rPr>
  </w:style>
  <w:style w:type="paragraph" w:customStyle="1" w:styleId="24">
    <w:name w:val="样式 样式 表格标题 + Times New Roman 行距: 多倍行距 1.4 字行 + 段前: 0.5 行 段后: 0...."/>
    <w:basedOn w:val="1"/>
    <w:qFormat/>
    <w:uiPriority w:val="0"/>
    <w:pPr>
      <w:spacing w:before="120" w:beforeLines="50" w:after="120" w:afterLines="50"/>
      <w:jc w:val="center"/>
    </w:pPr>
    <w:rPr>
      <w:rFonts w:eastAsia="黑体" w:cs="宋体"/>
      <w:sz w:val="24"/>
      <w:szCs w:val="20"/>
    </w:rPr>
  </w:style>
  <w:style w:type="paragraph" w:customStyle="1" w:styleId="25">
    <w:name w:val="Bibliography"/>
    <w:basedOn w:val="1"/>
    <w:next w:val="1"/>
    <w:unhideWhenUsed/>
    <w:qFormat/>
    <w:uiPriority w:val="37"/>
    <w:pPr>
      <w:tabs>
        <w:tab w:val="left" w:pos="504"/>
      </w:tabs>
      <w:ind w:left="504" w:hanging="504"/>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番茄花园</Company>
  <Pages>13</Pages>
  <Words>6488</Words>
  <Characters>9690</Characters>
  <Lines>402</Lines>
  <Paragraphs>113</Paragraphs>
  <TotalTime>26</TotalTime>
  <ScaleCrop>false</ScaleCrop>
  <LinksUpToDate>false</LinksUpToDate>
  <CharactersWithSpaces>10475</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2024-11-27T04:25:00Z</dcterms:created>
  <dc:creator>番茄花园</dc:creator>
  <cp:lastModifiedBy>zhuxi</cp:lastModifiedBy>
  <cp:lastPrinted>2009-10-10T06:31:00Z</cp:lastPrinted>
  <dcterms:modified xsi:type="dcterms:W3CDTF">2024-11-27T05:32:51Z</dcterms:modified>
  <dc:title>人才培养模式创新实验区</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30E8C592238F4F3E8EAD6B80CAC1C8A3</vt:lpwstr>
  </property>
  <property fmtid="{D5CDD505-2E9C-101B-9397-08002B2CF9AE}" pid="4" name="ZOTERO_PREF_1">
    <vt:lpwstr>&lt;data data-version="3" zotero-version="6.0.36"&gt;&lt;session id="GmJoynns"/&gt;&lt;style id="http://www.zotero.org/styles/china-national-standard-gb-t-7714-2015-numeric" hasBibliography="1" bibliographyStyleHasBeenSet="1"/&gt;&lt;prefs&gt;&lt;pref name="fieldType" value="Field"</vt:lpwstr>
  </property>
  <property fmtid="{D5CDD505-2E9C-101B-9397-08002B2CF9AE}" pid="5" name="ZOTERO_PREF_2">
    <vt:lpwstr>/&gt;&lt;/prefs&gt;&lt;/data&gt;</vt:lpwstr>
  </property>
</Properties>
</file>