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80" w:rightFromText="180" w:vertAnchor="text" w:horzAnchor="margin" w:tblpXSpec="right" w:tblpY="83"/>
        <w:tblOverlap w:val="neve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16"/>
        <w:gridCol w:w="1884"/>
      </w:tblGrid>
      <w:tr w:rsidR="009907C0" w14:paraId="62F72899" w14:textId="77777777">
        <w:trPr>
          <w:trHeight w:val="315"/>
        </w:trPr>
        <w:tc>
          <w:tcPr>
            <w:tcW w:w="1516" w:type="dxa"/>
          </w:tcPr>
          <w:p w14:paraId="62F72897" w14:textId="77777777" w:rsidR="009907C0" w:rsidRDefault="00000000">
            <w:pPr>
              <w:rPr>
                <w:rFonts w:ascii="仿宋_GB2312" w:eastAsia="仿宋_GB2312" w:hAnsi="宋体" w:hint="eastAsia"/>
                <w:sz w:val="28"/>
              </w:rPr>
            </w:pPr>
            <w:r>
              <w:rPr>
                <w:rFonts w:ascii="仿宋_GB2312" w:eastAsia="仿宋_GB2312" w:hAnsi="宋体" w:hint="eastAsia"/>
                <w:sz w:val="28"/>
              </w:rPr>
              <w:t>项目编号</w:t>
            </w:r>
          </w:p>
        </w:tc>
        <w:tc>
          <w:tcPr>
            <w:tcW w:w="1884" w:type="dxa"/>
          </w:tcPr>
          <w:p w14:paraId="62F72898" w14:textId="77777777" w:rsidR="009907C0" w:rsidRDefault="009907C0">
            <w:pPr>
              <w:rPr>
                <w:rFonts w:ascii="宋体" w:hAnsi="宋体" w:hint="eastAsia"/>
                <w:sz w:val="28"/>
              </w:rPr>
            </w:pPr>
          </w:p>
        </w:tc>
      </w:tr>
    </w:tbl>
    <w:p w14:paraId="62F7289A" w14:textId="77777777" w:rsidR="009907C0" w:rsidRDefault="009907C0">
      <w:pPr>
        <w:pStyle w:val="ac"/>
        <w:spacing w:before="0" w:beforeAutospacing="0" w:after="0" w:afterAutospacing="0"/>
        <w:rPr>
          <w:rFonts w:ascii="仿宋_GB2312" w:eastAsia="仿宋_GB2312" w:hint="eastAsia"/>
          <w:sz w:val="32"/>
          <w:szCs w:val="32"/>
        </w:rPr>
      </w:pPr>
    </w:p>
    <w:p w14:paraId="62F7289B" w14:textId="77777777" w:rsidR="009907C0" w:rsidRDefault="009907C0">
      <w:pPr>
        <w:spacing w:after="624"/>
        <w:jc w:val="left"/>
        <w:rPr>
          <w:rFonts w:ascii="华文中宋" w:eastAsia="华文中宋" w:hAnsi="华文中宋" w:hint="eastAsia"/>
          <w:b/>
          <w:sz w:val="48"/>
          <w:szCs w:val="48"/>
        </w:rPr>
      </w:pPr>
    </w:p>
    <w:p w14:paraId="62F7289C" w14:textId="77777777" w:rsidR="009907C0" w:rsidRDefault="00000000">
      <w:pPr>
        <w:jc w:val="center"/>
        <w:rPr>
          <w:rFonts w:ascii="方正粗宋简体" w:eastAsia="方正粗宋简体" w:hAnsi="华文中宋" w:hint="eastAsia"/>
          <w:sz w:val="64"/>
          <w:szCs w:val="64"/>
        </w:rPr>
      </w:pPr>
      <w:r>
        <w:rPr>
          <w:rFonts w:ascii="方正粗宋简体" w:eastAsia="方正粗宋简体" w:hAnsi="华文中宋" w:hint="eastAsia"/>
          <w:sz w:val="64"/>
          <w:szCs w:val="64"/>
        </w:rPr>
        <w:t>华 东 理 工 大 学</w:t>
      </w:r>
    </w:p>
    <w:p w14:paraId="62F7289D" w14:textId="77777777" w:rsidR="009907C0" w:rsidRDefault="00000000">
      <w:pPr>
        <w:spacing w:before="468"/>
        <w:jc w:val="center"/>
        <w:rPr>
          <w:rFonts w:ascii="华文楷体" w:eastAsia="华文楷体" w:hAnsi="华文楷体" w:hint="eastAsia"/>
          <w:b/>
          <w:sz w:val="60"/>
          <w:szCs w:val="60"/>
        </w:rPr>
      </w:pPr>
      <w:r>
        <w:rPr>
          <w:rFonts w:ascii="华文楷体" w:eastAsia="华文楷体" w:hAnsi="华文楷体" w:hint="eastAsia"/>
          <w:b/>
          <w:sz w:val="56"/>
          <w:szCs w:val="48"/>
        </w:rPr>
        <w:t>大学生创新创业训练计划创新训练类</w:t>
      </w:r>
      <w:r>
        <w:rPr>
          <w:rFonts w:ascii="华文楷体" w:eastAsia="华文楷体" w:hAnsi="华文楷体" w:hint="eastAsia"/>
          <w:b/>
          <w:sz w:val="56"/>
          <w:szCs w:val="56"/>
        </w:rPr>
        <w:t>项目申报书</w:t>
      </w:r>
    </w:p>
    <w:p w14:paraId="62F7289E" w14:textId="77777777" w:rsidR="009907C0" w:rsidRDefault="009907C0">
      <w:pPr>
        <w:jc w:val="center"/>
        <w:rPr>
          <w:rFonts w:ascii="华文中宋" w:eastAsia="华文中宋" w:hAnsi="华文中宋" w:hint="eastAsia"/>
          <w:b/>
          <w:sz w:val="72"/>
          <w:szCs w:val="72"/>
        </w:rPr>
      </w:pPr>
    </w:p>
    <w:p w14:paraId="62F7289F" w14:textId="77777777" w:rsidR="009907C0" w:rsidRDefault="009907C0">
      <w:pPr>
        <w:ind w:firstLineChars="300" w:firstLine="960"/>
        <w:rPr>
          <w:rFonts w:ascii="黑体" w:eastAsia="黑体"/>
          <w:sz w:val="32"/>
          <w:szCs w:val="32"/>
        </w:rPr>
      </w:pPr>
    </w:p>
    <w:tbl>
      <w:tblPr>
        <w:tblW w:w="0" w:type="auto"/>
        <w:tblInd w:w="426" w:type="dxa"/>
        <w:tblLayout w:type="fixed"/>
        <w:tblLook w:val="04A0" w:firstRow="1" w:lastRow="0" w:firstColumn="1" w:lastColumn="0" w:noHBand="0" w:noVBand="1"/>
      </w:tblPr>
      <w:tblGrid>
        <w:gridCol w:w="2835"/>
        <w:gridCol w:w="5917"/>
      </w:tblGrid>
      <w:tr w:rsidR="009907C0" w14:paraId="62F728A2" w14:textId="77777777">
        <w:trPr>
          <w:trHeight w:hRule="exact" w:val="1112"/>
        </w:trPr>
        <w:tc>
          <w:tcPr>
            <w:tcW w:w="2835" w:type="dxa"/>
            <w:vAlign w:val="center"/>
          </w:tcPr>
          <w:p w14:paraId="62F728A0" w14:textId="77777777" w:rsidR="009907C0" w:rsidRDefault="00000000">
            <w:pPr>
              <w:jc w:val="left"/>
              <w:rPr>
                <w:rFonts w:ascii="黑体" w:eastAsia="黑体"/>
                <w:sz w:val="32"/>
                <w:szCs w:val="32"/>
              </w:rPr>
            </w:pPr>
            <w:r>
              <w:rPr>
                <w:rFonts w:ascii="黑体" w:eastAsia="黑体" w:hint="eastAsia"/>
                <w:sz w:val="32"/>
                <w:szCs w:val="32"/>
              </w:rPr>
              <w:t>项目名称</w:t>
            </w:r>
          </w:p>
        </w:tc>
        <w:tc>
          <w:tcPr>
            <w:tcW w:w="5917" w:type="dxa"/>
            <w:tcBorders>
              <w:bottom w:val="single" w:sz="4" w:space="0" w:color="auto"/>
            </w:tcBorders>
            <w:vAlign w:val="center"/>
          </w:tcPr>
          <w:p w14:paraId="62F728A1" w14:textId="77777777" w:rsidR="009907C0" w:rsidRDefault="00000000">
            <w:pPr>
              <w:pStyle w:val="a7"/>
              <w:spacing w:line="600" w:lineRule="exact"/>
              <w:ind w:firstLineChars="0"/>
              <w:jc w:val="center"/>
              <w:rPr>
                <w:rFonts w:ascii="仿宋_GB2312" w:eastAsia="仿宋_GB2312"/>
                <w:bCs w:val="0"/>
                <w:color w:val="000000"/>
                <w:sz w:val="32"/>
                <w:szCs w:val="32"/>
              </w:rPr>
            </w:pPr>
            <w:r>
              <w:rPr>
                <w:rFonts w:ascii="仿宋_GB2312" w:eastAsia="仿宋_GB2312" w:hint="eastAsia"/>
                <w:bCs w:val="0"/>
                <w:color w:val="000000"/>
                <w:sz w:val="32"/>
                <w:szCs w:val="32"/>
              </w:rPr>
              <w:t>用于大分子药物递送的可注射型凝胶体系搭建</w:t>
            </w:r>
          </w:p>
        </w:tc>
      </w:tr>
      <w:tr w:rsidR="009907C0" w14:paraId="62F728A5" w14:textId="77777777">
        <w:trPr>
          <w:trHeight w:hRule="exact" w:val="737"/>
        </w:trPr>
        <w:tc>
          <w:tcPr>
            <w:tcW w:w="2835" w:type="dxa"/>
            <w:vAlign w:val="center"/>
          </w:tcPr>
          <w:p w14:paraId="62F728A3" w14:textId="77777777" w:rsidR="009907C0" w:rsidRDefault="00000000">
            <w:pPr>
              <w:jc w:val="left"/>
              <w:rPr>
                <w:rFonts w:ascii="黑体" w:eastAsia="黑体"/>
                <w:sz w:val="32"/>
                <w:szCs w:val="32"/>
              </w:rPr>
            </w:pPr>
            <w:r>
              <w:rPr>
                <w:rFonts w:ascii="黑体" w:eastAsia="黑体" w:hint="eastAsia"/>
                <w:sz w:val="32"/>
                <w:szCs w:val="32"/>
              </w:rPr>
              <w:t>项目所属一级学科</w:t>
            </w:r>
          </w:p>
        </w:tc>
        <w:tc>
          <w:tcPr>
            <w:tcW w:w="5917" w:type="dxa"/>
            <w:tcBorders>
              <w:top w:val="single" w:sz="4" w:space="0" w:color="auto"/>
              <w:bottom w:val="single" w:sz="4" w:space="0" w:color="auto"/>
            </w:tcBorders>
            <w:vAlign w:val="center"/>
          </w:tcPr>
          <w:p w14:paraId="62F728A4" w14:textId="77777777" w:rsidR="009907C0" w:rsidRDefault="00000000">
            <w:pPr>
              <w:pStyle w:val="a7"/>
              <w:spacing w:line="600" w:lineRule="exact"/>
              <w:ind w:firstLineChars="200" w:firstLine="640"/>
              <w:jc w:val="center"/>
              <w:rPr>
                <w:rFonts w:ascii="仿宋_GB2312" w:eastAsia="仿宋_GB2312"/>
                <w:bCs w:val="0"/>
                <w:color w:val="000000"/>
                <w:sz w:val="32"/>
                <w:szCs w:val="32"/>
              </w:rPr>
            </w:pPr>
            <w:r>
              <w:rPr>
                <w:rFonts w:ascii="仿宋_GB2312" w:eastAsia="仿宋_GB2312" w:hint="eastAsia"/>
                <w:bCs w:val="0"/>
                <w:color w:val="000000"/>
                <w:sz w:val="32"/>
                <w:szCs w:val="32"/>
              </w:rPr>
              <w:t>理学</w:t>
            </w:r>
          </w:p>
        </w:tc>
      </w:tr>
      <w:tr w:rsidR="009907C0" w14:paraId="62F728A8" w14:textId="77777777">
        <w:trPr>
          <w:trHeight w:hRule="exact" w:val="737"/>
        </w:trPr>
        <w:tc>
          <w:tcPr>
            <w:tcW w:w="2835" w:type="dxa"/>
            <w:vAlign w:val="center"/>
          </w:tcPr>
          <w:p w14:paraId="62F728A6" w14:textId="77777777" w:rsidR="009907C0" w:rsidRDefault="00000000">
            <w:pPr>
              <w:jc w:val="left"/>
              <w:rPr>
                <w:rFonts w:ascii="黑体" w:eastAsia="黑体"/>
                <w:sz w:val="32"/>
                <w:szCs w:val="32"/>
              </w:rPr>
            </w:pPr>
            <w:r>
              <w:rPr>
                <w:rFonts w:ascii="黑体" w:eastAsia="黑体" w:hint="eastAsia"/>
                <w:sz w:val="32"/>
                <w:szCs w:val="32"/>
              </w:rPr>
              <w:t>项目负责人</w:t>
            </w:r>
          </w:p>
        </w:tc>
        <w:tc>
          <w:tcPr>
            <w:tcW w:w="5917" w:type="dxa"/>
            <w:tcBorders>
              <w:top w:val="single" w:sz="4" w:space="0" w:color="auto"/>
              <w:bottom w:val="single" w:sz="4" w:space="0" w:color="auto"/>
            </w:tcBorders>
            <w:vAlign w:val="center"/>
          </w:tcPr>
          <w:p w14:paraId="62F728A7" w14:textId="77777777" w:rsidR="009907C0" w:rsidRDefault="00000000">
            <w:pPr>
              <w:pStyle w:val="a7"/>
              <w:spacing w:line="600" w:lineRule="exact"/>
              <w:ind w:firstLineChars="200" w:firstLine="640"/>
              <w:jc w:val="center"/>
              <w:rPr>
                <w:rFonts w:ascii="仿宋_GB2312" w:eastAsia="仿宋_GB2312"/>
                <w:bCs w:val="0"/>
                <w:color w:val="000000"/>
                <w:sz w:val="32"/>
                <w:szCs w:val="32"/>
              </w:rPr>
            </w:pPr>
            <w:proofErr w:type="gramStart"/>
            <w:r>
              <w:rPr>
                <w:rFonts w:ascii="仿宋_GB2312" w:eastAsia="仿宋_GB2312" w:hint="eastAsia"/>
                <w:bCs w:val="0"/>
                <w:color w:val="000000"/>
                <w:sz w:val="32"/>
                <w:szCs w:val="32"/>
              </w:rPr>
              <w:t>翟</w:t>
            </w:r>
            <w:proofErr w:type="gramEnd"/>
            <w:r>
              <w:rPr>
                <w:rFonts w:ascii="仿宋_GB2312" w:eastAsia="仿宋_GB2312" w:hint="eastAsia"/>
                <w:bCs w:val="0"/>
                <w:color w:val="000000"/>
                <w:sz w:val="32"/>
                <w:szCs w:val="32"/>
              </w:rPr>
              <w:t>思凡</w:t>
            </w:r>
          </w:p>
        </w:tc>
      </w:tr>
      <w:tr w:rsidR="009907C0" w14:paraId="62F728AB" w14:textId="77777777">
        <w:trPr>
          <w:trHeight w:hRule="exact" w:val="737"/>
        </w:trPr>
        <w:tc>
          <w:tcPr>
            <w:tcW w:w="2835" w:type="dxa"/>
            <w:vAlign w:val="center"/>
          </w:tcPr>
          <w:p w14:paraId="62F728A9" w14:textId="77777777" w:rsidR="009907C0" w:rsidRDefault="00000000">
            <w:pPr>
              <w:jc w:val="left"/>
              <w:rPr>
                <w:rFonts w:ascii="黑体" w:eastAsia="黑体"/>
                <w:sz w:val="32"/>
                <w:szCs w:val="32"/>
              </w:rPr>
            </w:pPr>
            <w:r>
              <w:rPr>
                <w:rFonts w:ascii="黑体" w:eastAsia="黑体" w:hint="eastAsia"/>
                <w:sz w:val="32"/>
                <w:szCs w:val="32"/>
              </w:rPr>
              <w:t>项目组成员</w:t>
            </w:r>
          </w:p>
        </w:tc>
        <w:tc>
          <w:tcPr>
            <w:tcW w:w="5917" w:type="dxa"/>
            <w:tcBorders>
              <w:top w:val="single" w:sz="4" w:space="0" w:color="auto"/>
              <w:bottom w:val="single" w:sz="4" w:space="0" w:color="auto"/>
            </w:tcBorders>
            <w:vAlign w:val="center"/>
          </w:tcPr>
          <w:p w14:paraId="62F728AA" w14:textId="77777777" w:rsidR="009907C0" w:rsidRDefault="00000000">
            <w:pPr>
              <w:pStyle w:val="a7"/>
              <w:spacing w:line="600" w:lineRule="exact"/>
              <w:ind w:firstLineChars="200" w:firstLine="640"/>
              <w:jc w:val="center"/>
              <w:rPr>
                <w:rFonts w:ascii="仿宋_GB2312" w:eastAsia="仿宋_GB2312"/>
                <w:bCs w:val="0"/>
                <w:color w:val="000000"/>
                <w:sz w:val="32"/>
                <w:szCs w:val="32"/>
              </w:rPr>
            </w:pPr>
            <w:r>
              <w:rPr>
                <w:rFonts w:ascii="仿宋_GB2312" w:eastAsia="仿宋_GB2312" w:hint="eastAsia"/>
                <w:bCs w:val="0"/>
                <w:color w:val="000000"/>
                <w:sz w:val="32"/>
                <w:szCs w:val="32"/>
              </w:rPr>
              <w:t>石佳怡 陈天力 庞博</w:t>
            </w:r>
          </w:p>
        </w:tc>
      </w:tr>
      <w:tr w:rsidR="009907C0" w14:paraId="62F728AE" w14:textId="77777777">
        <w:trPr>
          <w:trHeight w:hRule="exact" w:val="737"/>
        </w:trPr>
        <w:tc>
          <w:tcPr>
            <w:tcW w:w="2835" w:type="dxa"/>
            <w:vAlign w:val="center"/>
          </w:tcPr>
          <w:p w14:paraId="62F728AC" w14:textId="77777777" w:rsidR="009907C0" w:rsidRDefault="00000000">
            <w:pPr>
              <w:jc w:val="left"/>
              <w:rPr>
                <w:rFonts w:ascii="黑体" w:eastAsia="黑体"/>
                <w:sz w:val="32"/>
                <w:szCs w:val="32"/>
              </w:rPr>
            </w:pPr>
            <w:r>
              <w:rPr>
                <w:rFonts w:ascii="黑体" w:eastAsia="黑体" w:hint="eastAsia"/>
                <w:sz w:val="32"/>
                <w:szCs w:val="32"/>
              </w:rPr>
              <w:t>指导教师</w:t>
            </w:r>
          </w:p>
        </w:tc>
        <w:tc>
          <w:tcPr>
            <w:tcW w:w="5917" w:type="dxa"/>
            <w:tcBorders>
              <w:top w:val="single" w:sz="4" w:space="0" w:color="auto"/>
              <w:bottom w:val="single" w:sz="4" w:space="0" w:color="auto"/>
            </w:tcBorders>
            <w:vAlign w:val="center"/>
          </w:tcPr>
          <w:p w14:paraId="62F728AD" w14:textId="77777777" w:rsidR="009907C0" w:rsidRDefault="00000000">
            <w:pPr>
              <w:pStyle w:val="a7"/>
              <w:spacing w:line="600" w:lineRule="exact"/>
              <w:ind w:firstLineChars="200" w:firstLine="640"/>
              <w:jc w:val="center"/>
              <w:rPr>
                <w:rFonts w:ascii="仿宋_GB2312" w:eastAsia="仿宋_GB2312"/>
                <w:bCs w:val="0"/>
                <w:color w:val="000000"/>
                <w:sz w:val="32"/>
                <w:szCs w:val="32"/>
              </w:rPr>
            </w:pPr>
            <w:proofErr w:type="gramStart"/>
            <w:r>
              <w:rPr>
                <w:rFonts w:ascii="仿宋_GB2312" w:eastAsia="仿宋_GB2312" w:hint="eastAsia"/>
                <w:bCs w:val="0"/>
                <w:color w:val="000000"/>
                <w:sz w:val="32"/>
                <w:szCs w:val="32"/>
              </w:rPr>
              <w:t>徐首红</w:t>
            </w:r>
            <w:proofErr w:type="gramEnd"/>
          </w:p>
        </w:tc>
      </w:tr>
      <w:tr w:rsidR="009907C0" w14:paraId="62F728B1" w14:textId="77777777">
        <w:trPr>
          <w:trHeight w:hRule="exact" w:val="737"/>
        </w:trPr>
        <w:tc>
          <w:tcPr>
            <w:tcW w:w="2835" w:type="dxa"/>
            <w:vAlign w:val="center"/>
          </w:tcPr>
          <w:p w14:paraId="62F728AF" w14:textId="77777777" w:rsidR="009907C0" w:rsidRDefault="00000000">
            <w:pPr>
              <w:jc w:val="left"/>
              <w:rPr>
                <w:rFonts w:ascii="黑体" w:eastAsia="黑体"/>
                <w:sz w:val="32"/>
                <w:szCs w:val="32"/>
              </w:rPr>
            </w:pPr>
            <w:r>
              <w:rPr>
                <w:rFonts w:ascii="黑体" w:eastAsia="黑体" w:hint="eastAsia"/>
                <w:sz w:val="32"/>
                <w:szCs w:val="32"/>
              </w:rPr>
              <w:t>所在学院</w:t>
            </w:r>
          </w:p>
        </w:tc>
        <w:tc>
          <w:tcPr>
            <w:tcW w:w="5917" w:type="dxa"/>
            <w:tcBorders>
              <w:top w:val="single" w:sz="4" w:space="0" w:color="auto"/>
              <w:bottom w:val="single" w:sz="4" w:space="0" w:color="auto"/>
            </w:tcBorders>
            <w:vAlign w:val="center"/>
          </w:tcPr>
          <w:p w14:paraId="62F728B0" w14:textId="77777777" w:rsidR="009907C0" w:rsidRDefault="00000000">
            <w:pPr>
              <w:pStyle w:val="a7"/>
              <w:spacing w:line="600" w:lineRule="exact"/>
              <w:ind w:firstLineChars="200" w:firstLine="640"/>
              <w:jc w:val="center"/>
              <w:rPr>
                <w:rFonts w:ascii="仿宋_GB2312" w:eastAsia="仿宋_GB2312"/>
                <w:bCs w:val="0"/>
                <w:color w:val="000000"/>
                <w:sz w:val="32"/>
                <w:szCs w:val="32"/>
              </w:rPr>
            </w:pPr>
            <w:r>
              <w:rPr>
                <w:rFonts w:ascii="仿宋_GB2312" w:eastAsia="仿宋_GB2312" w:hint="eastAsia"/>
                <w:bCs w:val="0"/>
                <w:color w:val="000000"/>
                <w:sz w:val="32"/>
                <w:szCs w:val="32"/>
              </w:rPr>
              <w:t>化学与分子工程学院</w:t>
            </w:r>
          </w:p>
        </w:tc>
      </w:tr>
      <w:tr w:rsidR="009907C0" w14:paraId="62F728B4" w14:textId="77777777">
        <w:trPr>
          <w:trHeight w:hRule="exact" w:val="737"/>
        </w:trPr>
        <w:tc>
          <w:tcPr>
            <w:tcW w:w="2835" w:type="dxa"/>
            <w:vAlign w:val="center"/>
          </w:tcPr>
          <w:p w14:paraId="62F728B2" w14:textId="77777777" w:rsidR="009907C0" w:rsidRDefault="00000000">
            <w:pPr>
              <w:jc w:val="left"/>
              <w:rPr>
                <w:rFonts w:ascii="黑体" w:eastAsia="黑体"/>
                <w:sz w:val="32"/>
                <w:szCs w:val="32"/>
              </w:rPr>
            </w:pPr>
            <w:r>
              <w:rPr>
                <w:rFonts w:ascii="黑体" w:eastAsia="黑体" w:hint="eastAsia"/>
                <w:sz w:val="32"/>
                <w:szCs w:val="32"/>
              </w:rPr>
              <w:t>填报日期</w:t>
            </w:r>
          </w:p>
        </w:tc>
        <w:tc>
          <w:tcPr>
            <w:tcW w:w="5917" w:type="dxa"/>
            <w:tcBorders>
              <w:top w:val="single" w:sz="4" w:space="0" w:color="auto"/>
              <w:bottom w:val="single" w:sz="4" w:space="0" w:color="auto"/>
            </w:tcBorders>
            <w:vAlign w:val="center"/>
          </w:tcPr>
          <w:p w14:paraId="62F728B3" w14:textId="77777777" w:rsidR="009907C0" w:rsidRDefault="00000000">
            <w:pPr>
              <w:pStyle w:val="a7"/>
              <w:spacing w:line="600" w:lineRule="exact"/>
              <w:ind w:firstLineChars="200" w:firstLine="640"/>
              <w:jc w:val="center"/>
              <w:rPr>
                <w:rFonts w:ascii="仿宋_GB2312" w:eastAsia="仿宋_GB2312"/>
                <w:bCs w:val="0"/>
                <w:color w:val="000000"/>
                <w:sz w:val="32"/>
                <w:szCs w:val="32"/>
              </w:rPr>
            </w:pPr>
            <w:r>
              <w:rPr>
                <w:rFonts w:ascii="仿宋_GB2312" w:eastAsia="仿宋_GB2312" w:hint="eastAsia"/>
                <w:bCs w:val="0"/>
                <w:color w:val="000000"/>
                <w:sz w:val="32"/>
                <w:szCs w:val="32"/>
              </w:rPr>
              <w:t>2024.11.10</w:t>
            </w:r>
          </w:p>
        </w:tc>
      </w:tr>
    </w:tbl>
    <w:p w14:paraId="62F728B5" w14:textId="77777777" w:rsidR="009907C0" w:rsidRDefault="009907C0">
      <w:pPr>
        <w:ind w:firstLineChars="300" w:firstLine="960"/>
        <w:rPr>
          <w:rFonts w:ascii="黑体" w:eastAsia="黑体"/>
          <w:sz w:val="32"/>
          <w:szCs w:val="32"/>
        </w:rPr>
      </w:pPr>
    </w:p>
    <w:p w14:paraId="62F728B6" w14:textId="77777777" w:rsidR="009907C0" w:rsidRDefault="00000000">
      <w:pPr>
        <w:jc w:val="center"/>
        <w:rPr>
          <w:rFonts w:ascii="宋体" w:eastAsia="楷体_GB2312" w:hAnsi="宋体" w:hint="eastAsia"/>
          <w:b/>
          <w:sz w:val="32"/>
        </w:rPr>
      </w:pPr>
      <w:r>
        <w:rPr>
          <w:rFonts w:ascii="宋体" w:eastAsia="楷体_GB2312" w:hAnsi="宋体" w:hint="eastAsia"/>
          <w:b/>
          <w:sz w:val="32"/>
        </w:rPr>
        <w:t>华东理工大学创新创业教育中心制表</w:t>
      </w:r>
    </w:p>
    <w:p w14:paraId="62F728B7" w14:textId="77777777" w:rsidR="009907C0" w:rsidRPr="004F7439" w:rsidRDefault="009907C0">
      <w:pPr>
        <w:spacing w:line="500" w:lineRule="exact"/>
        <w:jc w:val="center"/>
        <w:rPr>
          <w:rFonts w:eastAsia="黑体"/>
          <w:spacing w:val="32"/>
          <w:sz w:val="36"/>
        </w:rPr>
      </w:pPr>
    </w:p>
    <w:p w14:paraId="62F728B8" w14:textId="77777777" w:rsidR="009907C0" w:rsidRDefault="00000000">
      <w:pPr>
        <w:spacing w:line="500" w:lineRule="exact"/>
        <w:jc w:val="center"/>
        <w:rPr>
          <w:rFonts w:eastAsia="黑体"/>
          <w:spacing w:val="32"/>
          <w:sz w:val="36"/>
        </w:rPr>
      </w:pPr>
      <w:r>
        <w:rPr>
          <w:rFonts w:eastAsia="黑体" w:hint="eastAsia"/>
          <w:spacing w:val="32"/>
          <w:sz w:val="36"/>
        </w:rPr>
        <w:t>填表说明</w:t>
      </w:r>
    </w:p>
    <w:p w14:paraId="62F728B9" w14:textId="77777777" w:rsidR="009907C0" w:rsidRDefault="009907C0">
      <w:pPr>
        <w:spacing w:line="500" w:lineRule="exact"/>
        <w:jc w:val="center"/>
        <w:rPr>
          <w:rFonts w:eastAsia="黑体"/>
          <w:sz w:val="36"/>
        </w:rPr>
      </w:pPr>
    </w:p>
    <w:p w14:paraId="62F728BA" w14:textId="77777777" w:rsidR="009907C0" w:rsidRDefault="009907C0">
      <w:pPr>
        <w:spacing w:line="500" w:lineRule="exact"/>
        <w:jc w:val="center"/>
        <w:rPr>
          <w:rFonts w:eastAsia="黑体"/>
          <w:sz w:val="36"/>
        </w:rPr>
      </w:pPr>
    </w:p>
    <w:p w14:paraId="62F728BB" w14:textId="77777777" w:rsidR="009907C0" w:rsidRDefault="00000000">
      <w:pPr>
        <w:spacing w:line="360" w:lineRule="auto"/>
        <w:ind w:firstLineChars="168" w:firstLine="538"/>
        <w:rPr>
          <w:rFonts w:ascii="仿宋_GB2312" w:eastAsia="仿宋_GB2312"/>
          <w:sz w:val="28"/>
        </w:rPr>
      </w:pPr>
      <w:r>
        <w:rPr>
          <w:rFonts w:ascii="仿宋_GB2312" w:eastAsia="仿宋_GB2312" w:hint="eastAsia"/>
          <w:sz w:val="32"/>
          <w:szCs w:val="32"/>
        </w:rPr>
        <w:t>一、</w:t>
      </w:r>
      <w:r>
        <w:rPr>
          <w:rFonts w:ascii="仿宋_GB2312" w:eastAsia="仿宋_GB2312" w:hint="eastAsia"/>
          <w:sz w:val="28"/>
        </w:rPr>
        <w:t>本表要求按顺序逐项填写，项目要实事求是，讲究诚信，不能有雷同，表达要明确、严谨。空缺项要填“无”。一律用A4纸打印，于左侧装订成册。</w:t>
      </w:r>
    </w:p>
    <w:p w14:paraId="62F728BC" w14:textId="77777777" w:rsidR="009907C0" w:rsidRDefault="00000000">
      <w:pPr>
        <w:spacing w:line="360" w:lineRule="auto"/>
        <w:ind w:firstLineChars="168" w:firstLine="470"/>
        <w:rPr>
          <w:rFonts w:ascii="仿宋_GB2312" w:eastAsia="仿宋_GB2312"/>
          <w:sz w:val="28"/>
        </w:rPr>
      </w:pPr>
      <w:r>
        <w:rPr>
          <w:rFonts w:ascii="仿宋_GB2312" w:eastAsia="仿宋_GB2312" w:hint="eastAsia"/>
          <w:sz w:val="28"/>
        </w:rPr>
        <w:t>二、申请参加本项目团队人数不得超过4人（1人为立项负责人，参与合作研究者1-3人）。</w:t>
      </w:r>
    </w:p>
    <w:p w14:paraId="62F728BD" w14:textId="77777777" w:rsidR="009907C0" w:rsidRDefault="00000000">
      <w:pPr>
        <w:spacing w:line="360" w:lineRule="auto"/>
        <w:ind w:firstLineChars="168" w:firstLine="470"/>
        <w:rPr>
          <w:rFonts w:ascii="仿宋_GB2312" w:eastAsia="仿宋_GB2312"/>
          <w:sz w:val="28"/>
        </w:rPr>
      </w:pPr>
      <w:r>
        <w:rPr>
          <w:rFonts w:ascii="仿宋_GB2312" w:eastAsia="仿宋_GB2312" w:hint="eastAsia"/>
          <w:sz w:val="28"/>
        </w:rPr>
        <w:t>三、申请参加本项目的个人或团队必须聘请教师作为项目指导教师，并请指导教师在申请书上签名。</w:t>
      </w:r>
    </w:p>
    <w:p w14:paraId="62F728BE" w14:textId="77777777" w:rsidR="009907C0" w:rsidRDefault="00000000">
      <w:pPr>
        <w:spacing w:line="360" w:lineRule="auto"/>
        <w:ind w:firstLineChars="168" w:firstLine="470"/>
        <w:rPr>
          <w:rFonts w:ascii="仿宋_GB2312" w:eastAsia="仿宋_GB2312"/>
          <w:sz w:val="28"/>
        </w:rPr>
      </w:pPr>
      <w:r>
        <w:rPr>
          <w:rFonts w:ascii="仿宋_GB2312" w:eastAsia="仿宋_GB2312" w:hint="eastAsia"/>
          <w:sz w:val="28"/>
        </w:rPr>
        <w:t>四、项目执行周期一般为1年半，允许项目开展1年后申请提前结题。</w:t>
      </w:r>
    </w:p>
    <w:p w14:paraId="62F728BF" w14:textId="77777777" w:rsidR="009907C0" w:rsidRDefault="00000000">
      <w:pPr>
        <w:spacing w:line="360" w:lineRule="auto"/>
        <w:ind w:firstLineChars="168" w:firstLine="470"/>
        <w:rPr>
          <w:rFonts w:ascii="仿宋_GB2312" w:eastAsia="仿宋_GB2312"/>
          <w:sz w:val="28"/>
        </w:rPr>
      </w:pPr>
      <w:r>
        <w:rPr>
          <w:rFonts w:ascii="仿宋_GB2312" w:eastAsia="仿宋_GB2312" w:hint="eastAsia"/>
          <w:sz w:val="28"/>
        </w:rPr>
        <w:t>五、本表由指导教师所在院系初审，签署意见后，由学院统一保存。</w:t>
      </w:r>
    </w:p>
    <w:p w14:paraId="62F728C0" w14:textId="77777777" w:rsidR="009907C0" w:rsidRDefault="009907C0">
      <w:pPr>
        <w:ind w:firstLineChars="168" w:firstLine="506"/>
        <w:jc w:val="left"/>
        <w:rPr>
          <w:rFonts w:ascii="仿宋_GB2312" w:eastAsia="仿宋_GB2312"/>
          <w:b/>
          <w:color w:val="000000"/>
          <w:sz w:val="30"/>
          <w:szCs w:val="30"/>
        </w:rPr>
      </w:pPr>
    </w:p>
    <w:p w14:paraId="62F728C1" w14:textId="77777777" w:rsidR="009907C0" w:rsidRDefault="009907C0">
      <w:pPr>
        <w:ind w:firstLineChars="1050" w:firstLine="3162"/>
        <w:rPr>
          <w:rFonts w:ascii="仿宋_GB2312" w:eastAsia="仿宋_GB2312"/>
          <w:b/>
          <w:color w:val="000000"/>
          <w:sz w:val="30"/>
          <w:szCs w:val="30"/>
        </w:rPr>
      </w:pPr>
    </w:p>
    <w:p w14:paraId="62F728C2" w14:textId="77777777" w:rsidR="009907C0" w:rsidRDefault="009907C0">
      <w:pPr>
        <w:ind w:firstLineChars="1050" w:firstLine="3162"/>
        <w:rPr>
          <w:rFonts w:ascii="仿宋_GB2312" w:eastAsia="仿宋_GB2312"/>
          <w:b/>
          <w:color w:val="000000"/>
          <w:sz w:val="30"/>
          <w:szCs w:val="30"/>
        </w:rPr>
      </w:pPr>
    </w:p>
    <w:p w14:paraId="62F728C3" w14:textId="77777777" w:rsidR="009907C0" w:rsidRDefault="009907C0">
      <w:pPr>
        <w:spacing w:before="312" w:after="312"/>
        <w:rPr>
          <w:b/>
          <w:sz w:val="32"/>
          <w:szCs w:val="32"/>
        </w:rPr>
      </w:pPr>
    </w:p>
    <w:p w14:paraId="62F728C4" w14:textId="77777777" w:rsidR="009907C0" w:rsidRDefault="00000000">
      <w:pPr>
        <w:spacing w:before="312" w:after="156"/>
        <w:rPr>
          <w:sz w:val="32"/>
          <w:szCs w:val="32"/>
        </w:rPr>
      </w:pPr>
      <w:r>
        <w:rPr>
          <w:b/>
          <w:sz w:val="32"/>
          <w:szCs w:val="32"/>
        </w:rPr>
        <w:br w:type="page"/>
      </w:r>
      <w:r>
        <w:rPr>
          <w:rFonts w:hint="eastAsia"/>
          <w:b/>
          <w:sz w:val="32"/>
          <w:szCs w:val="32"/>
        </w:rPr>
        <w:lastRenderedPageBreak/>
        <w:t>一、项目基本情况</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81"/>
        <w:gridCol w:w="708"/>
        <w:gridCol w:w="400"/>
        <w:gridCol w:w="264"/>
        <w:gridCol w:w="850"/>
        <w:gridCol w:w="1134"/>
        <w:gridCol w:w="567"/>
        <w:gridCol w:w="851"/>
        <w:gridCol w:w="709"/>
        <w:gridCol w:w="283"/>
        <w:gridCol w:w="1276"/>
        <w:gridCol w:w="19"/>
        <w:gridCol w:w="2397"/>
      </w:tblGrid>
      <w:tr w:rsidR="009907C0" w14:paraId="62F728C7" w14:textId="77777777">
        <w:trPr>
          <w:cantSplit/>
          <w:trHeight w:val="754"/>
          <w:jc w:val="center"/>
        </w:trPr>
        <w:tc>
          <w:tcPr>
            <w:tcW w:w="1189" w:type="dxa"/>
            <w:gridSpan w:val="2"/>
            <w:vAlign w:val="bottom"/>
          </w:tcPr>
          <w:p w14:paraId="62F728C5" w14:textId="77777777" w:rsidR="009907C0" w:rsidRDefault="00000000">
            <w:pPr>
              <w:spacing w:line="480" w:lineRule="auto"/>
              <w:jc w:val="center"/>
              <w:rPr>
                <w:sz w:val="22"/>
              </w:rPr>
            </w:pPr>
            <w:r>
              <w:rPr>
                <w:rFonts w:hint="eastAsia"/>
                <w:sz w:val="22"/>
              </w:rPr>
              <w:t>项目名称</w:t>
            </w:r>
          </w:p>
        </w:tc>
        <w:tc>
          <w:tcPr>
            <w:tcW w:w="8750" w:type="dxa"/>
            <w:gridSpan w:val="11"/>
            <w:vAlign w:val="center"/>
          </w:tcPr>
          <w:p w14:paraId="62F728C6" w14:textId="77777777" w:rsidR="009907C0" w:rsidRDefault="00000000">
            <w:pPr>
              <w:jc w:val="center"/>
              <w:rPr>
                <w:rFonts w:ascii="仿宋_GB2312" w:eastAsia="仿宋_GB2312"/>
                <w:sz w:val="22"/>
                <w:szCs w:val="22"/>
              </w:rPr>
            </w:pPr>
            <w:r>
              <w:rPr>
                <w:rFonts w:hint="eastAsia"/>
                <w:sz w:val="22"/>
              </w:rPr>
              <w:t>用于大分子药物递送的可注射型凝胶体系构建</w:t>
            </w:r>
          </w:p>
        </w:tc>
      </w:tr>
      <w:tr w:rsidR="009907C0" w14:paraId="62F728CA" w14:textId="77777777">
        <w:trPr>
          <w:cantSplit/>
          <w:trHeight w:val="846"/>
          <w:jc w:val="center"/>
        </w:trPr>
        <w:tc>
          <w:tcPr>
            <w:tcW w:w="7523" w:type="dxa"/>
            <w:gridSpan w:val="11"/>
            <w:vAlign w:val="center"/>
          </w:tcPr>
          <w:p w14:paraId="62F728C8" w14:textId="77777777" w:rsidR="009907C0" w:rsidRDefault="00000000">
            <w:pPr>
              <w:jc w:val="left"/>
              <w:rPr>
                <w:sz w:val="22"/>
              </w:rPr>
            </w:pPr>
            <w:r>
              <w:rPr>
                <w:rFonts w:hint="eastAsia"/>
                <w:sz w:val="22"/>
              </w:rPr>
              <w:t>项目所属一级学科（可以是一种或多种跨学科）</w:t>
            </w:r>
          </w:p>
        </w:tc>
        <w:tc>
          <w:tcPr>
            <w:tcW w:w="2416" w:type="dxa"/>
            <w:gridSpan w:val="2"/>
            <w:vAlign w:val="center"/>
          </w:tcPr>
          <w:p w14:paraId="62F728C9" w14:textId="77777777" w:rsidR="009907C0" w:rsidRDefault="00000000">
            <w:pPr>
              <w:rPr>
                <w:sz w:val="22"/>
              </w:rPr>
            </w:pPr>
            <w:r>
              <w:rPr>
                <w:rFonts w:hint="eastAsia"/>
                <w:sz w:val="22"/>
              </w:rPr>
              <w:t>理学</w:t>
            </w:r>
          </w:p>
        </w:tc>
      </w:tr>
      <w:tr w:rsidR="009907C0" w14:paraId="62F728CD" w14:textId="77777777">
        <w:trPr>
          <w:cantSplit/>
          <w:trHeight w:val="551"/>
          <w:jc w:val="center"/>
        </w:trPr>
        <w:tc>
          <w:tcPr>
            <w:tcW w:w="1189" w:type="dxa"/>
            <w:gridSpan w:val="2"/>
            <w:vMerge w:val="restart"/>
            <w:vAlign w:val="center"/>
          </w:tcPr>
          <w:p w14:paraId="62F728CB" w14:textId="77777777" w:rsidR="009907C0" w:rsidRDefault="00000000">
            <w:pPr>
              <w:jc w:val="center"/>
              <w:rPr>
                <w:sz w:val="22"/>
                <w:szCs w:val="21"/>
              </w:rPr>
            </w:pPr>
            <w:r>
              <w:rPr>
                <w:rFonts w:hint="eastAsia"/>
                <w:sz w:val="22"/>
                <w:szCs w:val="21"/>
              </w:rPr>
              <w:t>项目来源</w:t>
            </w:r>
          </w:p>
        </w:tc>
        <w:tc>
          <w:tcPr>
            <w:tcW w:w="8750" w:type="dxa"/>
            <w:gridSpan w:val="11"/>
            <w:vAlign w:val="center"/>
          </w:tcPr>
          <w:p w14:paraId="62F728CC" w14:textId="77777777" w:rsidR="009907C0" w:rsidRDefault="00000000">
            <w:pPr>
              <w:ind w:left="336"/>
              <w:jc w:val="left"/>
              <w:rPr>
                <w:szCs w:val="21"/>
              </w:rPr>
            </w:pPr>
            <w:r>
              <w:rPr>
                <w:rFonts w:ascii="GulimChe" w:eastAsia="GulimChe" w:hAnsi="GulimChe" w:hint="eastAsia"/>
                <w:sz w:val="22"/>
                <w:szCs w:val="22"/>
              </w:rPr>
              <w:t>□</w:t>
            </w:r>
            <w:r>
              <w:rPr>
                <w:rFonts w:ascii="GulimChe" w:hAnsi="GulimChe" w:hint="eastAsia"/>
                <w:sz w:val="22"/>
                <w:szCs w:val="22"/>
              </w:rPr>
              <w:t>学生自选课题</w:t>
            </w:r>
            <w:r>
              <w:rPr>
                <w:rFonts w:ascii="GulimChe" w:hAnsi="GulimChe" w:hint="eastAsia"/>
                <w:sz w:val="22"/>
                <w:szCs w:val="22"/>
              </w:rPr>
              <w:t xml:space="preserve">           </w:t>
            </w:r>
            <w:r>
              <w:rPr>
                <w:rFonts w:ascii="GulimChe" w:hAnsi="GulimChe" w:hint="eastAsia"/>
                <w:sz w:val="22"/>
                <w:szCs w:val="22"/>
              </w:rPr>
              <w:t>☑导师科研项目</w:t>
            </w:r>
            <w:r>
              <w:rPr>
                <w:rFonts w:ascii="GulimChe" w:hAnsi="GulimChe" w:hint="eastAsia"/>
                <w:sz w:val="22"/>
                <w:szCs w:val="22"/>
              </w:rPr>
              <w:t xml:space="preserve">    </w:t>
            </w:r>
          </w:p>
        </w:tc>
      </w:tr>
      <w:tr w:rsidR="009907C0" w14:paraId="62F728D2" w14:textId="77777777">
        <w:trPr>
          <w:cantSplit/>
          <w:trHeight w:val="998"/>
          <w:jc w:val="center"/>
        </w:trPr>
        <w:tc>
          <w:tcPr>
            <w:tcW w:w="1189" w:type="dxa"/>
            <w:gridSpan w:val="2"/>
            <w:vMerge/>
            <w:vAlign w:val="center"/>
          </w:tcPr>
          <w:p w14:paraId="62F728CE" w14:textId="77777777" w:rsidR="009907C0" w:rsidRDefault="009907C0">
            <w:pPr>
              <w:jc w:val="center"/>
              <w:rPr>
                <w:sz w:val="22"/>
                <w:szCs w:val="21"/>
              </w:rPr>
            </w:pPr>
          </w:p>
        </w:tc>
        <w:tc>
          <w:tcPr>
            <w:tcW w:w="8750" w:type="dxa"/>
            <w:gridSpan w:val="11"/>
            <w:vAlign w:val="center"/>
          </w:tcPr>
          <w:p w14:paraId="62F728CF" w14:textId="77777777" w:rsidR="009907C0" w:rsidRDefault="00000000">
            <w:pPr>
              <w:jc w:val="left"/>
              <w:rPr>
                <w:rFonts w:ascii="GulimChe" w:hAnsi="GulimChe" w:hint="eastAsia"/>
                <w:sz w:val="22"/>
                <w:szCs w:val="22"/>
              </w:rPr>
            </w:pPr>
            <w:r>
              <w:rPr>
                <w:rFonts w:ascii="GulimChe" w:hAnsi="GulimChe" w:hint="eastAsia"/>
                <w:sz w:val="22"/>
                <w:szCs w:val="22"/>
              </w:rPr>
              <w:t>☑与专业实践相关</w:t>
            </w:r>
            <w:r>
              <w:rPr>
                <w:rFonts w:ascii="GulimChe" w:hAnsi="GulimChe" w:hint="eastAsia"/>
                <w:sz w:val="22"/>
                <w:szCs w:val="22"/>
              </w:rPr>
              <w:t xml:space="preserve">         </w:t>
            </w:r>
            <w:r>
              <w:rPr>
                <w:rFonts w:ascii="GulimChe" w:eastAsia="GulimChe" w:hAnsi="GulimChe" w:hint="eastAsia"/>
                <w:sz w:val="22"/>
                <w:szCs w:val="22"/>
              </w:rPr>
              <w:t>□</w:t>
            </w:r>
            <w:r>
              <w:rPr>
                <w:rFonts w:ascii="GulimChe" w:hAnsi="GulimChe" w:hint="eastAsia"/>
                <w:sz w:val="22"/>
                <w:szCs w:val="22"/>
              </w:rPr>
              <w:t xml:space="preserve"> </w:t>
            </w:r>
            <w:r>
              <w:rPr>
                <w:rFonts w:ascii="GulimChe" w:hAnsi="GulimChe" w:hint="eastAsia"/>
                <w:sz w:val="22"/>
                <w:szCs w:val="22"/>
              </w:rPr>
              <w:t>与课程设计相关</w:t>
            </w:r>
          </w:p>
          <w:p w14:paraId="62F728D0" w14:textId="77777777" w:rsidR="009907C0" w:rsidRDefault="00000000">
            <w:pPr>
              <w:spacing w:line="360" w:lineRule="auto"/>
              <w:jc w:val="left"/>
              <w:rPr>
                <w:rFonts w:ascii="GulimChe" w:hAnsi="GulimChe" w:hint="eastAsia"/>
                <w:sz w:val="22"/>
                <w:szCs w:val="22"/>
              </w:rPr>
            </w:pPr>
            <w:r>
              <w:rPr>
                <w:rFonts w:hAnsi="GulimChe"/>
                <w:sz w:val="22"/>
                <w:szCs w:val="22"/>
              </w:rPr>
              <w:t>是否以</w:t>
            </w:r>
            <w:r>
              <w:rPr>
                <w:sz w:val="22"/>
                <w:szCs w:val="22"/>
              </w:rPr>
              <w:t>USRP</w:t>
            </w:r>
            <w:r>
              <w:rPr>
                <w:rFonts w:hint="eastAsia"/>
                <w:sz w:val="22"/>
                <w:szCs w:val="22"/>
              </w:rPr>
              <w:t>课题为基础</w:t>
            </w:r>
            <w:r>
              <w:rPr>
                <w:rFonts w:hint="eastAsia"/>
                <w:sz w:val="22"/>
                <w:szCs w:val="22"/>
              </w:rPr>
              <w:t xml:space="preserve">  </w:t>
            </w:r>
            <w:r>
              <w:rPr>
                <w:rFonts w:ascii="GulimChe" w:eastAsia="GulimChe" w:hAnsi="GulimChe" w:hint="eastAsia"/>
                <w:sz w:val="22"/>
                <w:szCs w:val="22"/>
              </w:rPr>
              <w:t>□</w:t>
            </w:r>
            <w:r>
              <w:rPr>
                <w:rFonts w:ascii="GulimChe" w:hAnsi="GulimChe" w:hint="eastAsia"/>
                <w:sz w:val="22"/>
                <w:szCs w:val="22"/>
              </w:rPr>
              <w:t>是</w:t>
            </w:r>
            <w:r>
              <w:rPr>
                <w:rFonts w:ascii="GulimChe" w:hAnsi="GulimChe" w:hint="eastAsia"/>
                <w:sz w:val="22"/>
                <w:szCs w:val="22"/>
              </w:rPr>
              <w:t xml:space="preserve"> </w:t>
            </w:r>
            <w:r>
              <w:rPr>
                <w:rFonts w:ascii="GulimChe" w:hAnsi="GulimChe" w:hint="eastAsia"/>
                <w:sz w:val="22"/>
                <w:szCs w:val="22"/>
              </w:rPr>
              <w:t>☑否</w:t>
            </w:r>
            <w:r>
              <w:rPr>
                <w:rFonts w:ascii="GulimChe" w:hAnsi="GulimChe" w:hint="eastAsia"/>
                <w:sz w:val="22"/>
                <w:szCs w:val="22"/>
              </w:rPr>
              <w:t xml:space="preserve">  </w:t>
            </w:r>
            <w:r>
              <w:rPr>
                <w:rFonts w:ascii="GulimChe" w:hAnsi="GulimChe" w:hint="eastAsia"/>
                <w:sz w:val="22"/>
                <w:szCs w:val="22"/>
              </w:rPr>
              <w:t>如果是，请填写</w:t>
            </w:r>
            <w:r>
              <w:rPr>
                <w:rFonts w:hint="eastAsia"/>
                <w:sz w:val="22"/>
                <w:szCs w:val="22"/>
              </w:rPr>
              <w:t>USRP</w:t>
            </w:r>
            <w:r>
              <w:rPr>
                <w:rFonts w:hint="eastAsia"/>
                <w:sz w:val="22"/>
                <w:szCs w:val="22"/>
              </w:rPr>
              <w:t>课题名称：</w:t>
            </w:r>
          </w:p>
          <w:p w14:paraId="62F728D1" w14:textId="77777777" w:rsidR="009907C0" w:rsidRDefault="009907C0">
            <w:pPr>
              <w:spacing w:before="156"/>
              <w:ind w:leftChars="100" w:left="210" w:firstLineChars="200" w:firstLine="440"/>
              <w:jc w:val="left"/>
              <w:rPr>
                <w:rFonts w:ascii="GulimChe" w:eastAsia="GulimChe" w:hAnsi="GulimChe" w:hint="eastAsia"/>
                <w:sz w:val="22"/>
                <w:szCs w:val="22"/>
              </w:rPr>
            </w:pPr>
          </w:p>
        </w:tc>
      </w:tr>
      <w:tr w:rsidR="009907C0" w14:paraId="62F728D7" w14:textId="77777777">
        <w:trPr>
          <w:cantSplit/>
          <w:trHeight w:val="1052"/>
          <w:jc w:val="center"/>
        </w:trPr>
        <w:tc>
          <w:tcPr>
            <w:tcW w:w="1189" w:type="dxa"/>
            <w:gridSpan w:val="2"/>
            <w:vAlign w:val="center"/>
          </w:tcPr>
          <w:p w14:paraId="62F728D3" w14:textId="77777777" w:rsidR="009907C0" w:rsidRDefault="00000000">
            <w:pPr>
              <w:jc w:val="center"/>
              <w:rPr>
                <w:sz w:val="22"/>
                <w:szCs w:val="21"/>
              </w:rPr>
            </w:pPr>
            <w:r>
              <w:rPr>
                <w:rFonts w:hint="eastAsia"/>
                <w:sz w:val="22"/>
                <w:szCs w:val="21"/>
              </w:rPr>
              <w:t>成果导向</w:t>
            </w:r>
          </w:p>
        </w:tc>
        <w:tc>
          <w:tcPr>
            <w:tcW w:w="8750" w:type="dxa"/>
            <w:gridSpan w:val="11"/>
            <w:vAlign w:val="center"/>
          </w:tcPr>
          <w:p w14:paraId="62F728D4" w14:textId="77777777" w:rsidR="009907C0" w:rsidRDefault="00000000">
            <w:pPr>
              <w:spacing w:line="480" w:lineRule="auto"/>
              <w:jc w:val="left"/>
              <w:rPr>
                <w:rFonts w:ascii="宋体" w:hAnsi="宋体" w:hint="eastAsia"/>
                <w:sz w:val="22"/>
                <w:szCs w:val="22"/>
              </w:rPr>
            </w:pPr>
            <w:r>
              <w:rPr>
                <w:color w:val="333333"/>
                <w:sz w:val="24"/>
                <w:shd w:val="clear" w:color="auto" w:fill="FFFFFF"/>
              </w:rPr>
              <w:t>☑</w:t>
            </w:r>
            <w:r>
              <w:rPr>
                <w:rFonts w:ascii="宋体" w:hAnsi="宋体" w:hint="eastAsia"/>
                <w:sz w:val="22"/>
                <w:szCs w:val="22"/>
              </w:rPr>
              <w:t>以</w:t>
            </w:r>
            <w:proofErr w:type="gramStart"/>
            <w:r>
              <w:rPr>
                <w:rFonts w:ascii="宋体" w:hAnsi="宋体" w:cs="微软雅黑" w:hint="eastAsia"/>
                <w:sz w:val="22"/>
                <w:szCs w:val="22"/>
              </w:rPr>
              <w:t>参与科创竞赛</w:t>
            </w:r>
            <w:proofErr w:type="gramEnd"/>
            <w:r>
              <w:rPr>
                <w:rFonts w:ascii="宋体" w:hAnsi="宋体" w:cs="微软雅黑" w:hint="eastAsia"/>
                <w:sz w:val="22"/>
                <w:szCs w:val="22"/>
              </w:rPr>
              <w:t>为导向</w:t>
            </w:r>
            <w:r>
              <w:rPr>
                <w:rFonts w:ascii="宋体" w:hAnsi="宋体" w:hint="eastAsia"/>
                <w:sz w:val="22"/>
                <w:szCs w:val="22"/>
              </w:rPr>
              <w:t>，请填写竞赛名称：</w:t>
            </w:r>
          </w:p>
          <w:p w14:paraId="62F728D5" w14:textId="77777777" w:rsidR="009907C0" w:rsidRDefault="00000000">
            <w:pPr>
              <w:spacing w:line="480" w:lineRule="auto"/>
              <w:jc w:val="left"/>
              <w:rPr>
                <w:rFonts w:ascii="宋体" w:hAnsi="宋体" w:hint="eastAsia"/>
                <w:sz w:val="22"/>
                <w:szCs w:val="22"/>
              </w:rPr>
            </w:pPr>
            <w:r>
              <w:rPr>
                <w:rFonts w:ascii="宋体" w:hAnsi="宋体" w:hint="eastAsia"/>
                <w:sz w:val="22"/>
                <w:szCs w:val="22"/>
              </w:rPr>
              <w:t>中国国际大学生创新创业大赛、挑战杯等竞赛</w:t>
            </w:r>
          </w:p>
          <w:p w14:paraId="62F728D6" w14:textId="77777777" w:rsidR="009907C0" w:rsidRDefault="00000000">
            <w:pPr>
              <w:spacing w:line="480" w:lineRule="auto"/>
              <w:jc w:val="left"/>
              <w:rPr>
                <w:rFonts w:ascii="GulimChe" w:hAnsi="GulimChe" w:hint="eastAsia"/>
                <w:sz w:val="22"/>
                <w:szCs w:val="22"/>
              </w:rPr>
            </w:pPr>
            <w:r>
              <w:rPr>
                <w:rFonts w:ascii="宋体" w:hAnsi="宋体" w:hint="eastAsia"/>
                <w:sz w:val="22"/>
                <w:szCs w:val="22"/>
              </w:rPr>
              <w:t>□以</w:t>
            </w:r>
            <w:r>
              <w:rPr>
                <w:rFonts w:ascii="宋体" w:hAnsi="宋体" w:cs="微软雅黑" w:hint="eastAsia"/>
                <w:sz w:val="22"/>
                <w:szCs w:val="22"/>
              </w:rPr>
              <w:t>发表学术论文或专利为导向</w:t>
            </w:r>
          </w:p>
        </w:tc>
      </w:tr>
      <w:tr w:rsidR="009907C0" w14:paraId="62F728DF" w14:textId="77777777">
        <w:trPr>
          <w:cantSplit/>
          <w:trHeight w:val="549"/>
          <w:jc w:val="center"/>
        </w:trPr>
        <w:tc>
          <w:tcPr>
            <w:tcW w:w="481" w:type="dxa"/>
            <w:vMerge w:val="restart"/>
            <w:vAlign w:val="center"/>
          </w:tcPr>
          <w:p w14:paraId="62F728D8" w14:textId="77777777" w:rsidR="009907C0" w:rsidRDefault="00000000">
            <w:pPr>
              <w:jc w:val="center"/>
              <w:rPr>
                <w:sz w:val="22"/>
                <w:szCs w:val="22"/>
              </w:rPr>
            </w:pPr>
            <w:r>
              <w:rPr>
                <w:rFonts w:hint="eastAsia"/>
                <w:sz w:val="22"/>
                <w:szCs w:val="22"/>
              </w:rPr>
              <w:t>负责人</w:t>
            </w:r>
          </w:p>
        </w:tc>
        <w:tc>
          <w:tcPr>
            <w:tcW w:w="1108" w:type="dxa"/>
            <w:gridSpan w:val="2"/>
            <w:vAlign w:val="center"/>
          </w:tcPr>
          <w:p w14:paraId="62F728D9" w14:textId="77777777" w:rsidR="009907C0" w:rsidRDefault="00000000">
            <w:pPr>
              <w:jc w:val="center"/>
              <w:rPr>
                <w:rFonts w:ascii="仿宋_GB2312" w:eastAsia="仿宋_GB2312"/>
                <w:sz w:val="22"/>
                <w:szCs w:val="22"/>
              </w:rPr>
            </w:pPr>
            <w:r>
              <w:rPr>
                <w:rFonts w:hint="eastAsia"/>
                <w:sz w:val="22"/>
                <w:szCs w:val="22"/>
              </w:rPr>
              <w:t>姓名</w:t>
            </w:r>
          </w:p>
        </w:tc>
        <w:tc>
          <w:tcPr>
            <w:tcW w:w="1114" w:type="dxa"/>
            <w:gridSpan w:val="2"/>
            <w:vAlign w:val="center"/>
          </w:tcPr>
          <w:p w14:paraId="62F728DA" w14:textId="77777777" w:rsidR="009907C0" w:rsidRDefault="00000000">
            <w:pPr>
              <w:jc w:val="center"/>
              <w:rPr>
                <w:sz w:val="22"/>
                <w:szCs w:val="22"/>
              </w:rPr>
            </w:pPr>
            <w:r>
              <w:rPr>
                <w:rFonts w:hint="eastAsia"/>
                <w:sz w:val="22"/>
                <w:szCs w:val="22"/>
              </w:rPr>
              <w:t>学号</w:t>
            </w:r>
          </w:p>
        </w:tc>
        <w:tc>
          <w:tcPr>
            <w:tcW w:w="1701" w:type="dxa"/>
            <w:gridSpan w:val="2"/>
            <w:vAlign w:val="center"/>
          </w:tcPr>
          <w:p w14:paraId="62F728DB" w14:textId="77777777" w:rsidR="009907C0" w:rsidRDefault="00000000">
            <w:pPr>
              <w:jc w:val="center"/>
              <w:rPr>
                <w:rFonts w:ascii="仿宋_GB2312" w:eastAsia="仿宋_GB2312"/>
                <w:sz w:val="22"/>
                <w:szCs w:val="22"/>
              </w:rPr>
            </w:pPr>
            <w:r>
              <w:rPr>
                <w:rFonts w:hint="eastAsia"/>
                <w:sz w:val="22"/>
                <w:szCs w:val="22"/>
              </w:rPr>
              <w:t>所在院系</w:t>
            </w:r>
          </w:p>
        </w:tc>
        <w:tc>
          <w:tcPr>
            <w:tcW w:w="1560" w:type="dxa"/>
            <w:gridSpan w:val="2"/>
            <w:vAlign w:val="center"/>
          </w:tcPr>
          <w:p w14:paraId="62F728DC" w14:textId="77777777" w:rsidR="009907C0" w:rsidRDefault="00000000">
            <w:pPr>
              <w:jc w:val="center"/>
              <w:rPr>
                <w:rFonts w:ascii="仿宋_GB2312" w:eastAsia="仿宋_GB2312"/>
                <w:sz w:val="22"/>
                <w:szCs w:val="22"/>
              </w:rPr>
            </w:pPr>
            <w:r>
              <w:rPr>
                <w:rFonts w:hint="eastAsia"/>
                <w:sz w:val="22"/>
                <w:szCs w:val="22"/>
              </w:rPr>
              <w:t>专业</w:t>
            </w:r>
          </w:p>
        </w:tc>
        <w:tc>
          <w:tcPr>
            <w:tcW w:w="1578" w:type="dxa"/>
            <w:gridSpan w:val="3"/>
            <w:vAlign w:val="center"/>
          </w:tcPr>
          <w:p w14:paraId="62F728DD" w14:textId="77777777" w:rsidR="009907C0" w:rsidRDefault="00000000">
            <w:pPr>
              <w:jc w:val="center"/>
              <w:rPr>
                <w:sz w:val="22"/>
                <w:szCs w:val="22"/>
              </w:rPr>
            </w:pPr>
            <w:r>
              <w:rPr>
                <w:rFonts w:hint="eastAsia"/>
                <w:sz w:val="22"/>
                <w:szCs w:val="22"/>
              </w:rPr>
              <w:t>手机</w:t>
            </w:r>
          </w:p>
        </w:tc>
        <w:tc>
          <w:tcPr>
            <w:tcW w:w="2397" w:type="dxa"/>
            <w:vAlign w:val="center"/>
          </w:tcPr>
          <w:p w14:paraId="62F728DE" w14:textId="77777777" w:rsidR="009907C0" w:rsidRDefault="00000000">
            <w:pPr>
              <w:jc w:val="center"/>
              <w:rPr>
                <w:sz w:val="22"/>
                <w:szCs w:val="22"/>
              </w:rPr>
            </w:pPr>
            <w:r>
              <w:rPr>
                <w:rFonts w:hint="eastAsia"/>
                <w:sz w:val="22"/>
                <w:szCs w:val="22"/>
              </w:rPr>
              <w:t>E-mail</w:t>
            </w:r>
          </w:p>
        </w:tc>
      </w:tr>
      <w:tr w:rsidR="009907C0" w14:paraId="62F728E7" w14:textId="77777777">
        <w:trPr>
          <w:cantSplit/>
          <w:trHeight w:val="722"/>
          <w:jc w:val="center"/>
        </w:trPr>
        <w:tc>
          <w:tcPr>
            <w:tcW w:w="481" w:type="dxa"/>
            <w:vMerge/>
            <w:vAlign w:val="center"/>
          </w:tcPr>
          <w:p w14:paraId="62F728E0" w14:textId="77777777" w:rsidR="009907C0" w:rsidRDefault="009907C0">
            <w:pPr>
              <w:rPr>
                <w:sz w:val="22"/>
                <w:szCs w:val="22"/>
              </w:rPr>
            </w:pPr>
          </w:p>
        </w:tc>
        <w:tc>
          <w:tcPr>
            <w:tcW w:w="1108" w:type="dxa"/>
            <w:gridSpan w:val="2"/>
            <w:vAlign w:val="center"/>
          </w:tcPr>
          <w:p w14:paraId="62F728E1" w14:textId="77777777" w:rsidR="009907C0" w:rsidRDefault="00000000">
            <w:pPr>
              <w:jc w:val="center"/>
              <w:rPr>
                <w:rFonts w:ascii="仿宋_GB2312" w:eastAsia="仿宋_GB2312"/>
                <w:sz w:val="22"/>
                <w:szCs w:val="22"/>
              </w:rPr>
            </w:pPr>
            <w:proofErr w:type="gramStart"/>
            <w:r>
              <w:rPr>
                <w:rFonts w:ascii="仿宋_GB2312" w:eastAsia="仿宋_GB2312" w:hint="eastAsia"/>
                <w:sz w:val="22"/>
                <w:szCs w:val="22"/>
              </w:rPr>
              <w:t>翟</w:t>
            </w:r>
            <w:proofErr w:type="gramEnd"/>
            <w:r>
              <w:rPr>
                <w:rFonts w:ascii="仿宋_GB2312" w:eastAsia="仿宋_GB2312" w:hint="eastAsia"/>
                <w:sz w:val="22"/>
                <w:szCs w:val="22"/>
              </w:rPr>
              <w:t>思凡</w:t>
            </w:r>
          </w:p>
        </w:tc>
        <w:tc>
          <w:tcPr>
            <w:tcW w:w="1114" w:type="dxa"/>
            <w:gridSpan w:val="2"/>
            <w:vAlign w:val="center"/>
          </w:tcPr>
          <w:p w14:paraId="62F728E2" w14:textId="77777777" w:rsidR="009907C0" w:rsidRDefault="00000000">
            <w:pPr>
              <w:jc w:val="center"/>
              <w:rPr>
                <w:rFonts w:ascii="仿宋_GB2312" w:eastAsia="仿宋_GB2312"/>
                <w:sz w:val="22"/>
                <w:szCs w:val="22"/>
              </w:rPr>
            </w:pPr>
            <w:r>
              <w:rPr>
                <w:rFonts w:ascii="仿宋_GB2312" w:eastAsia="仿宋_GB2312" w:hint="eastAsia"/>
                <w:sz w:val="22"/>
                <w:szCs w:val="22"/>
              </w:rPr>
              <w:t>23011044</w:t>
            </w:r>
          </w:p>
        </w:tc>
        <w:tc>
          <w:tcPr>
            <w:tcW w:w="1701" w:type="dxa"/>
            <w:gridSpan w:val="2"/>
            <w:vAlign w:val="center"/>
          </w:tcPr>
          <w:p w14:paraId="62F728E3" w14:textId="77777777" w:rsidR="009907C0" w:rsidRDefault="00000000">
            <w:pPr>
              <w:jc w:val="center"/>
              <w:rPr>
                <w:rFonts w:ascii="仿宋_GB2312" w:eastAsia="仿宋_GB2312"/>
                <w:sz w:val="22"/>
                <w:szCs w:val="22"/>
              </w:rPr>
            </w:pPr>
            <w:r>
              <w:rPr>
                <w:rFonts w:ascii="仿宋_GB2312" w:eastAsia="仿宋_GB2312" w:hint="eastAsia"/>
                <w:sz w:val="22"/>
                <w:szCs w:val="22"/>
              </w:rPr>
              <w:t>化学与分子工程学院</w:t>
            </w:r>
          </w:p>
        </w:tc>
        <w:tc>
          <w:tcPr>
            <w:tcW w:w="1560" w:type="dxa"/>
            <w:gridSpan w:val="2"/>
            <w:vAlign w:val="center"/>
          </w:tcPr>
          <w:p w14:paraId="62F728E4" w14:textId="77777777" w:rsidR="009907C0" w:rsidRDefault="00000000">
            <w:pPr>
              <w:jc w:val="center"/>
              <w:rPr>
                <w:rFonts w:ascii="仿宋_GB2312" w:eastAsia="仿宋_GB2312"/>
                <w:sz w:val="22"/>
                <w:szCs w:val="22"/>
              </w:rPr>
            </w:pPr>
            <w:r>
              <w:rPr>
                <w:rFonts w:ascii="仿宋_GB2312" w:eastAsia="仿宋_GB2312" w:hint="eastAsia"/>
                <w:sz w:val="22"/>
                <w:szCs w:val="22"/>
              </w:rPr>
              <w:t>化学</w:t>
            </w:r>
          </w:p>
        </w:tc>
        <w:tc>
          <w:tcPr>
            <w:tcW w:w="1578" w:type="dxa"/>
            <w:gridSpan w:val="3"/>
            <w:vAlign w:val="center"/>
          </w:tcPr>
          <w:p w14:paraId="62F728E5" w14:textId="77777777" w:rsidR="009907C0" w:rsidRDefault="00000000">
            <w:pPr>
              <w:jc w:val="center"/>
              <w:rPr>
                <w:rFonts w:ascii="仿宋_GB2312" w:eastAsia="仿宋_GB2312"/>
                <w:sz w:val="22"/>
                <w:szCs w:val="22"/>
              </w:rPr>
            </w:pPr>
            <w:r>
              <w:rPr>
                <w:rFonts w:ascii="仿宋_GB2312" w:eastAsia="仿宋_GB2312" w:hint="eastAsia"/>
                <w:sz w:val="22"/>
                <w:szCs w:val="22"/>
              </w:rPr>
              <w:t>18621912476</w:t>
            </w:r>
          </w:p>
        </w:tc>
        <w:tc>
          <w:tcPr>
            <w:tcW w:w="2397" w:type="dxa"/>
            <w:vAlign w:val="center"/>
          </w:tcPr>
          <w:p w14:paraId="62F728E6" w14:textId="77777777" w:rsidR="009907C0" w:rsidRDefault="00000000">
            <w:pPr>
              <w:jc w:val="center"/>
              <w:rPr>
                <w:rFonts w:ascii="仿宋_GB2312" w:eastAsia="仿宋_GB2312"/>
                <w:sz w:val="22"/>
                <w:szCs w:val="22"/>
              </w:rPr>
            </w:pPr>
            <w:r>
              <w:rPr>
                <w:rFonts w:ascii="仿宋_GB2312" w:eastAsia="仿宋_GB2312" w:hint="eastAsia"/>
                <w:sz w:val="22"/>
                <w:szCs w:val="22"/>
              </w:rPr>
              <w:t>23011044@mail.ecust.edu.cn</w:t>
            </w:r>
          </w:p>
        </w:tc>
      </w:tr>
      <w:tr w:rsidR="009907C0" w14:paraId="62F728F0" w14:textId="77777777">
        <w:trPr>
          <w:cantSplit/>
          <w:trHeight w:val="705"/>
          <w:jc w:val="center"/>
        </w:trPr>
        <w:tc>
          <w:tcPr>
            <w:tcW w:w="481" w:type="dxa"/>
            <w:vMerge w:val="restart"/>
            <w:vAlign w:val="center"/>
          </w:tcPr>
          <w:p w14:paraId="62F728E8" w14:textId="77777777" w:rsidR="009907C0" w:rsidRDefault="00000000">
            <w:pPr>
              <w:jc w:val="center"/>
              <w:rPr>
                <w:sz w:val="22"/>
                <w:szCs w:val="22"/>
              </w:rPr>
            </w:pPr>
            <w:r>
              <w:rPr>
                <w:rFonts w:hint="eastAsia"/>
                <w:sz w:val="22"/>
                <w:szCs w:val="22"/>
              </w:rPr>
              <w:t>参与</w:t>
            </w:r>
          </w:p>
          <w:p w14:paraId="62F728E9" w14:textId="77777777" w:rsidR="009907C0" w:rsidRDefault="00000000">
            <w:pPr>
              <w:jc w:val="center"/>
              <w:rPr>
                <w:sz w:val="22"/>
                <w:szCs w:val="22"/>
              </w:rPr>
            </w:pPr>
            <w:r>
              <w:rPr>
                <w:rFonts w:hint="eastAsia"/>
                <w:sz w:val="22"/>
                <w:szCs w:val="22"/>
              </w:rPr>
              <w:t>组员</w:t>
            </w:r>
          </w:p>
        </w:tc>
        <w:tc>
          <w:tcPr>
            <w:tcW w:w="1108" w:type="dxa"/>
            <w:gridSpan w:val="2"/>
            <w:vAlign w:val="center"/>
          </w:tcPr>
          <w:p w14:paraId="62F728EA" w14:textId="77777777" w:rsidR="009907C0" w:rsidRDefault="00000000">
            <w:pPr>
              <w:jc w:val="center"/>
              <w:rPr>
                <w:rFonts w:ascii="仿宋_GB2312" w:eastAsia="仿宋_GB2312"/>
                <w:sz w:val="22"/>
                <w:szCs w:val="22"/>
              </w:rPr>
            </w:pPr>
            <w:r>
              <w:rPr>
                <w:rFonts w:ascii="仿宋_GB2312" w:eastAsia="仿宋_GB2312" w:hint="eastAsia"/>
                <w:sz w:val="22"/>
                <w:szCs w:val="22"/>
              </w:rPr>
              <w:t>石佳怡</w:t>
            </w:r>
          </w:p>
        </w:tc>
        <w:tc>
          <w:tcPr>
            <w:tcW w:w="1114" w:type="dxa"/>
            <w:gridSpan w:val="2"/>
            <w:vAlign w:val="center"/>
          </w:tcPr>
          <w:p w14:paraId="62F728EB" w14:textId="77777777" w:rsidR="009907C0" w:rsidRDefault="00000000">
            <w:pPr>
              <w:jc w:val="center"/>
              <w:rPr>
                <w:rFonts w:ascii="仿宋_GB2312" w:eastAsia="仿宋_GB2312"/>
                <w:sz w:val="22"/>
                <w:szCs w:val="22"/>
              </w:rPr>
            </w:pPr>
            <w:r>
              <w:rPr>
                <w:rFonts w:ascii="仿宋_GB2312" w:eastAsia="仿宋_GB2312" w:hint="eastAsia"/>
                <w:sz w:val="22"/>
                <w:szCs w:val="22"/>
              </w:rPr>
              <w:t>23011160</w:t>
            </w:r>
          </w:p>
        </w:tc>
        <w:tc>
          <w:tcPr>
            <w:tcW w:w="1701" w:type="dxa"/>
            <w:gridSpan w:val="2"/>
            <w:vAlign w:val="center"/>
          </w:tcPr>
          <w:p w14:paraId="62F728EC" w14:textId="77777777" w:rsidR="009907C0" w:rsidRDefault="00000000">
            <w:pPr>
              <w:rPr>
                <w:rFonts w:ascii="仿宋_GB2312" w:eastAsia="仿宋_GB2312"/>
                <w:sz w:val="22"/>
                <w:szCs w:val="22"/>
              </w:rPr>
            </w:pPr>
            <w:r>
              <w:rPr>
                <w:rFonts w:ascii="仿宋_GB2312" w:eastAsia="仿宋_GB2312" w:hint="eastAsia"/>
                <w:sz w:val="22"/>
                <w:szCs w:val="22"/>
              </w:rPr>
              <w:t>化学与分子工程学院</w:t>
            </w:r>
          </w:p>
        </w:tc>
        <w:tc>
          <w:tcPr>
            <w:tcW w:w="1560" w:type="dxa"/>
            <w:gridSpan w:val="2"/>
            <w:vAlign w:val="center"/>
          </w:tcPr>
          <w:p w14:paraId="62F728ED" w14:textId="77777777" w:rsidR="009907C0" w:rsidRDefault="00000000">
            <w:pPr>
              <w:jc w:val="center"/>
              <w:rPr>
                <w:rFonts w:ascii="仿宋_GB2312" w:eastAsia="仿宋_GB2312"/>
                <w:sz w:val="22"/>
                <w:szCs w:val="22"/>
              </w:rPr>
            </w:pPr>
            <w:r>
              <w:rPr>
                <w:rFonts w:ascii="仿宋_GB2312" w:eastAsia="仿宋_GB2312" w:hint="eastAsia"/>
                <w:sz w:val="22"/>
                <w:szCs w:val="22"/>
              </w:rPr>
              <w:t>应用化学</w:t>
            </w:r>
          </w:p>
        </w:tc>
        <w:tc>
          <w:tcPr>
            <w:tcW w:w="1578" w:type="dxa"/>
            <w:gridSpan w:val="3"/>
            <w:vAlign w:val="center"/>
          </w:tcPr>
          <w:p w14:paraId="62F728EE" w14:textId="77777777" w:rsidR="009907C0" w:rsidRDefault="00000000">
            <w:pPr>
              <w:jc w:val="center"/>
              <w:rPr>
                <w:rFonts w:ascii="仿宋_GB2312" w:eastAsia="仿宋_GB2312"/>
                <w:sz w:val="22"/>
                <w:szCs w:val="22"/>
              </w:rPr>
            </w:pPr>
            <w:r>
              <w:rPr>
                <w:rFonts w:ascii="仿宋_GB2312" w:eastAsia="仿宋_GB2312" w:hint="eastAsia"/>
                <w:sz w:val="22"/>
                <w:szCs w:val="22"/>
              </w:rPr>
              <w:t>15706839654</w:t>
            </w:r>
          </w:p>
        </w:tc>
        <w:tc>
          <w:tcPr>
            <w:tcW w:w="2397" w:type="dxa"/>
            <w:vAlign w:val="center"/>
          </w:tcPr>
          <w:p w14:paraId="62F728EF" w14:textId="77777777" w:rsidR="009907C0" w:rsidRDefault="00000000">
            <w:pPr>
              <w:jc w:val="center"/>
              <w:rPr>
                <w:rFonts w:ascii="仿宋_GB2312" w:eastAsia="仿宋_GB2312"/>
                <w:sz w:val="22"/>
                <w:szCs w:val="22"/>
              </w:rPr>
            </w:pPr>
            <w:r>
              <w:rPr>
                <w:rFonts w:ascii="仿宋_GB2312" w:eastAsia="仿宋_GB2312" w:hint="eastAsia"/>
                <w:sz w:val="22"/>
                <w:szCs w:val="22"/>
              </w:rPr>
              <w:t>1362381103@qq.com</w:t>
            </w:r>
          </w:p>
        </w:tc>
      </w:tr>
      <w:tr w:rsidR="009907C0" w14:paraId="62F728F8" w14:textId="77777777">
        <w:trPr>
          <w:cantSplit/>
          <w:trHeight w:val="705"/>
          <w:jc w:val="center"/>
        </w:trPr>
        <w:tc>
          <w:tcPr>
            <w:tcW w:w="481" w:type="dxa"/>
            <w:vMerge/>
            <w:vAlign w:val="center"/>
          </w:tcPr>
          <w:p w14:paraId="62F728F1" w14:textId="77777777" w:rsidR="009907C0" w:rsidRDefault="009907C0">
            <w:pPr>
              <w:jc w:val="center"/>
              <w:rPr>
                <w:sz w:val="22"/>
                <w:szCs w:val="22"/>
              </w:rPr>
            </w:pPr>
          </w:p>
        </w:tc>
        <w:tc>
          <w:tcPr>
            <w:tcW w:w="1108" w:type="dxa"/>
            <w:gridSpan w:val="2"/>
            <w:vAlign w:val="center"/>
          </w:tcPr>
          <w:p w14:paraId="62F728F2" w14:textId="77777777" w:rsidR="009907C0" w:rsidRDefault="00000000">
            <w:pPr>
              <w:jc w:val="center"/>
              <w:rPr>
                <w:rFonts w:ascii="仿宋_GB2312" w:eastAsia="仿宋_GB2312"/>
                <w:sz w:val="22"/>
                <w:szCs w:val="22"/>
              </w:rPr>
            </w:pPr>
            <w:r>
              <w:rPr>
                <w:rFonts w:ascii="仿宋_GB2312" w:eastAsia="仿宋_GB2312" w:hint="eastAsia"/>
                <w:sz w:val="22"/>
                <w:szCs w:val="22"/>
              </w:rPr>
              <w:t>庞博</w:t>
            </w:r>
          </w:p>
        </w:tc>
        <w:tc>
          <w:tcPr>
            <w:tcW w:w="1114" w:type="dxa"/>
            <w:gridSpan w:val="2"/>
            <w:vAlign w:val="center"/>
          </w:tcPr>
          <w:p w14:paraId="62F728F3" w14:textId="77777777" w:rsidR="009907C0" w:rsidRDefault="00000000">
            <w:pPr>
              <w:jc w:val="center"/>
              <w:rPr>
                <w:rFonts w:ascii="仿宋_GB2312" w:eastAsia="仿宋_GB2312"/>
                <w:sz w:val="22"/>
                <w:szCs w:val="22"/>
              </w:rPr>
            </w:pPr>
            <w:r>
              <w:rPr>
                <w:rFonts w:ascii="仿宋_GB2312" w:eastAsia="仿宋_GB2312" w:hint="eastAsia"/>
                <w:sz w:val="22"/>
                <w:szCs w:val="22"/>
              </w:rPr>
              <w:t>23010676</w:t>
            </w:r>
          </w:p>
        </w:tc>
        <w:tc>
          <w:tcPr>
            <w:tcW w:w="1701" w:type="dxa"/>
            <w:gridSpan w:val="2"/>
            <w:vAlign w:val="center"/>
          </w:tcPr>
          <w:p w14:paraId="62F728F4" w14:textId="77777777" w:rsidR="009907C0" w:rsidRDefault="00000000">
            <w:pPr>
              <w:jc w:val="center"/>
              <w:rPr>
                <w:rFonts w:ascii="仿宋_GB2312" w:eastAsia="仿宋_GB2312"/>
                <w:sz w:val="22"/>
                <w:szCs w:val="22"/>
              </w:rPr>
            </w:pPr>
            <w:r>
              <w:rPr>
                <w:rFonts w:ascii="仿宋_GB2312" w:eastAsia="仿宋_GB2312" w:hint="eastAsia"/>
                <w:sz w:val="22"/>
                <w:szCs w:val="22"/>
              </w:rPr>
              <w:t>化学与分子工程学院</w:t>
            </w:r>
          </w:p>
        </w:tc>
        <w:tc>
          <w:tcPr>
            <w:tcW w:w="1560" w:type="dxa"/>
            <w:gridSpan w:val="2"/>
            <w:vAlign w:val="center"/>
          </w:tcPr>
          <w:p w14:paraId="62F728F5" w14:textId="77777777" w:rsidR="009907C0" w:rsidRDefault="00000000">
            <w:pPr>
              <w:jc w:val="center"/>
              <w:rPr>
                <w:rFonts w:ascii="仿宋_GB2312" w:eastAsia="仿宋_GB2312"/>
                <w:sz w:val="22"/>
                <w:szCs w:val="22"/>
              </w:rPr>
            </w:pPr>
            <w:r>
              <w:rPr>
                <w:rFonts w:ascii="仿宋_GB2312" w:eastAsia="仿宋_GB2312" w:hint="eastAsia"/>
                <w:sz w:val="22"/>
                <w:szCs w:val="22"/>
              </w:rPr>
              <w:t>化学</w:t>
            </w:r>
          </w:p>
        </w:tc>
        <w:tc>
          <w:tcPr>
            <w:tcW w:w="1578" w:type="dxa"/>
            <w:gridSpan w:val="3"/>
            <w:vAlign w:val="center"/>
          </w:tcPr>
          <w:p w14:paraId="62F728F6" w14:textId="77777777" w:rsidR="009907C0" w:rsidRDefault="00000000">
            <w:pPr>
              <w:jc w:val="center"/>
              <w:rPr>
                <w:rFonts w:ascii="仿宋_GB2312" w:eastAsia="仿宋_GB2312"/>
                <w:sz w:val="22"/>
                <w:szCs w:val="22"/>
              </w:rPr>
            </w:pPr>
            <w:r>
              <w:rPr>
                <w:rFonts w:ascii="仿宋_GB2312" w:eastAsia="仿宋_GB2312" w:hint="eastAsia"/>
                <w:sz w:val="22"/>
                <w:szCs w:val="22"/>
              </w:rPr>
              <w:t>18117112679</w:t>
            </w:r>
          </w:p>
        </w:tc>
        <w:tc>
          <w:tcPr>
            <w:tcW w:w="2397" w:type="dxa"/>
            <w:vAlign w:val="center"/>
          </w:tcPr>
          <w:p w14:paraId="62F728F7" w14:textId="77777777" w:rsidR="009907C0" w:rsidRDefault="00000000">
            <w:pPr>
              <w:jc w:val="center"/>
              <w:rPr>
                <w:rFonts w:ascii="仿宋_GB2312" w:eastAsia="仿宋_GB2312"/>
                <w:sz w:val="22"/>
                <w:szCs w:val="22"/>
              </w:rPr>
            </w:pPr>
            <w:r>
              <w:rPr>
                <w:rFonts w:ascii="仿宋_GB2312" w:eastAsia="仿宋_GB2312" w:hint="eastAsia"/>
                <w:sz w:val="22"/>
                <w:szCs w:val="22"/>
              </w:rPr>
              <w:t>m18117112679@163.com</w:t>
            </w:r>
          </w:p>
        </w:tc>
      </w:tr>
      <w:tr w:rsidR="009907C0" w14:paraId="62F72900" w14:textId="77777777">
        <w:trPr>
          <w:cantSplit/>
          <w:trHeight w:val="687"/>
          <w:jc w:val="center"/>
        </w:trPr>
        <w:tc>
          <w:tcPr>
            <w:tcW w:w="481" w:type="dxa"/>
            <w:vMerge/>
            <w:vAlign w:val="center"/>
          </w:tcPr>
          <w:p w14:paraId="62F728F9" w14:textId="77777777" w:rsidR="009907C0" w:rsidRDefault="009907C0">
            <w:pPr>
              <w:rPr>
                <w:sz w:val="22"/>
                <w:szCs w:val="22"/>
              </w:rPr>
            </w:pPr>
          </w:p>
        </w:tc>
        <w:tc>
          <w:tcPr>
            <w:tcW w:w="1108" w:type="dxa"/>
            <w:gridSpan w:val="2"/>
            <w:vAlign w:val="center"/>
          </w:tcPr>
          <w:p w14:paraId="62F728FA" w14:textId="77777777" w:rsidR="009907C0" w:rsidRDefault="00000000">
            <w:pPr>
              <w:jc w:val="center"/>
              <w:rPr>
                <w:rFonts w:ascii="仿宋_GB2312" w:eastAsia="仿宋_GB2312"/>
                <w:sz w:val="22"/>
                <w:szCs w:val="22"/>
              </w:rPr>
            </w:pPr>
            <w:r>
              <w:rPr>
                <w:rFonts w:ascii="仿宋_GB2312" w:eastAsia="仿宋_GB2312" w:hint="eastAsia"/>
                <w:sz w:val="22"/>
                <w:szCs w:val="22"/>
              </w:rPr>
              <w:t>陈天力</w:t>
            </w:r>
          </w:p>
        </w:tc>
        <w:tc>
          <w:tcPr>
            <w:tcW w:w="1114" w:type="dxa"/>
            <w:gridSpan w:val="2"/>
            <w:vAlign w:val="center"/>
          </w:tcPr>
          <w:p w14:paraId="62F728FB" w14:textId="77777777" w:rsidR="009907C0" w:rsidRDefault="00000000">
            <w:pPr>
              <w:jc w:val="center"/>
              <w:rPr>
                <w:rFonts w:ascii="仿宋_GB2312" w:eastAsia="仿宋_GB2312"/>
                <w:sz w:val="22"/>
                <w:szCs w:val="22"/>
              </w:rPr>
            </w:pPr>
            <w:r>
              <w:rPr>
                <w:rFonts w:ascii="仿宋_GB2312" w:eastAsia="仿宋_GB2312" w:hint="eastAsia"/>
                <w:sz w:val="22"/>
                <w:szCs w:val="22"/>
              </w:rPr>
              <w:t>23010111</w:t>
            </w:r>
          </w:p>
        </w:tc>
        <w:tc>
          <w:tcPr>
            <w:tcW w:w="1701" w:type="dxa"/>
            <w:gridSpan w:val="2"/>
            <w:vAlign w:val="center"/>
          </w:tcPr>
          <w:p w14:paraId="62F728FC" w14:textId="77777777" w:rsidR="009907C0" w:rsidRDefault="00000000">
            <w:pPr>
              <w:jc w:val="center"/>
              <w:rPr>
                <w:rFonts w:ascii="仿宋_GB2312" w:eastAsia="仿宋_GB2312"/>
                <w:sz w:val="22"/>
                <w:szCs w:val="22"/>
              </w:rPr>
            </w:pPr>
            <w:r>
              <w:rPr>
                <w:rFonts w:ascii="仿宋_GB2312" w:eastAsia="仿宋_GB2312" w:hint="eastAsia"/>
                <w:sz w:val="22"/>
                <w:szCs w:val="22"/>
              </w:rPr>
              <w:t>材料科学与工程学院</w:t>
            </w:r>
          </w:p>
        </w:tc>
        <w:tc>
          <w:tcPr>
            <w:tcW w:w="1560" w:type="dxa"/>
            <w:gridSpan w:val="2"/>
            <w:vAlign w:val="center"/>
          </w:tcPr>
          <w:p w14:paraId="62F728FD" w14:textId="77777777" w:rsidR="009907C0" w:rsidRDefault="00000000">
            <w:pPr>
              <w:jc w:val="center"/>
              <w:rPr>
                <w:rFonts w:ascii="仿宋_GB2312" w:eastAsia="仿宋_GB2312"/>
                <w:sz w:val="22"/>
                <w:szCs w:val="22"/>
              </w:rPr>
            </w:pPr>
            <w:r>
              <w:rPr>
                <w:rFonts w:ascii="仿宋_GB2312" w:eastAsia="仿宋_GB2312" w:hint="eastAsia"/>
                <w:sz w:val="22"/>
                <w:szCs w:val="22"/>
              </w:rPr>
              <w:t>高分子材料与工程</w:t>
            </w:r>
          </w:p>
        </w:tc>
        <w:tc>
          <w:tcPr>
            <w:tcW w:w="1578" w:type="dxa"/>
            <w:gridSpan w:val="3"/>
            <w:vAlign w:val="center"/>
          </w:tcPr>
          <w:p w14:paraId="62F728FE" w14:textId="77777777" w:rsidR="009907C0" w:rsidRDefault="00000000">
            <w:pPr>
              <w:jc w:val="center"/>
              <w:rPr>
                <w:rFonts w:ascii="仿宋_GB2312" w:eastAsia="仿宋_GB2312"/>
                <w:sz w:val="22"/>
                <w:szCs w:val="22"/>
              </w:rPr>
            </w:pPr>
            <w:r>
              <w:rPr>
                <w:rFonts w:ascii="仿宋_GB2312" w:eastAsia="仿宋_GB2312" w:hint="eastAsia"/>
                <w:sz w:val="22"/>
                <w:szCs w:val="22"/>
              </w:rPr>
              <w:t>18221506740</w:t>
            </w:r>
          </w:p>
        </w:tc>
        <w:tc>
          <w:tcPr>
            <w:tcW w:w="2397" w:type="dxa"/>
            <w:vAlign w:val="center"/>
          </w:tcPr>
          <w:p w14:paraId="62F728FF" w14:textId="77777777" w:rsidR="009907C0" w:rsidRDefault="00000000">
            <w:pPr>
              <w:jc w:val="center"/>
              <w:rPr>
                <w:rFonts w:ascii="仿宋_GB2312" w:eastAsia="仿宋_GB2312"/>
                <w:sz w:val="22"/>
                <w:szCs w:val="22"/>
              </w:rPr>
            </w:pPr>
            <w:r>
              <w:rPr>
                <w:rFonts w:ascii="仿宋_GB2312" w:eastAsia="仿宋_GB2312" w:hint="eastAsia"/>
                <w:sz w:val="22"/>
                <w:szCs w:val="22"/>
              </w:rPr>
              <w:t>billychen20050119@outlook.com</w:t>
            </w:r>
          </w:p>
        </w:tc>
      </w:tr>
      <w:tr w:rsidR="009907C0" w14:paraId="62F72906" w14:textId="77777777">
        <w:trPr>
          <w:cantSplit/>
          <w:trHeight w:val="549"/>
          <w:jc w:val="center"/>
        </w:trPr>
        <w:tc>
          <w:tcPr>
            <w:tcW w:w="481" w:type="dxa"/>
            <w:vMerge w:val="restart"/>
            <w:vAlign w:val="center"/>
          </w:tcPr>
          <w:p w14:paraId="62F72901" w14:textId="77777777" w:rsidR="009907C0" w:rsidRDefault="00000000">
            <w:pPr>
              <w:jc w:val="center"/>
              <w:rPr>
                <w:sz w:val="22"/>
                <w:szCs w:val="22"/>
              </w:rPr>
            </w:pPr>
            <w:r>
              <w:rPr>
                <w:rFonts w:hint="eastAsia"/>
                <w:sz w:val="22"/>
                <w:szCs w:val="22"/>
              </w:rPr>
              <w:t>指导教师</w:t>
            </w:r>
          </w:p>
        </w:tc>
        <w:tc>
          <w:tcPr>
            <w:tcW w:w="1108" w:type="dxa"/>
            <w:gridSpan w:val="2"/>
            <w:vAlign w:val="center"/>
          </w:tcPr>
          <w:p w14:paraId="62F72902" w14:textId="77777777" w:rsidR="009907C0" w:rsidRDefault="00000000">
            <w:pPr>
              <w:jc w:val="center"/>
              <w:rPr>
                <w:rFonts w:ascii="仿宋_GB2312" w:eastAsia="仿宋_GB2312"/>
                <w:sz w:val="22"/>
                <w:szCs w:val="22"/>
              </w:rPr>
            </w:pPr>
            <w:r>
              <w:rPr>
                <w:rFonts w:hint="eastAsia"/>
                <w:sz w:val="22"/>
                <w:szCs w:val="22"/>
              </w:rPr>
              <w:t>姓名</w:t>
            </w:r>
          </w:p>
        </w:tc>
        <w:tc>
          <w:tcPr>
            <w:tcW w:w="1114" w:type="dxa"/>
            <w:gridSpan w:val="2"/>
            <w:vAlign w:val="center"/>
          </w:tcPr>
          <w:p w14:paraId="62F72903" w14:textId="77777777" w:rsidR="009907C0" w:rsidRDefault="00000000">
            <w:pPr>
              <w:jc w:val="center"/>
              <w:rPr>
                <w:rFonts w:ascii="仿宋_GB2312" w:eastAsia="仿宋_GB2312"/>
                <w:sz w:val="22"/>
                <w:szCs w:val="22"/>
              </w:rPr>
            </w:pPr>
            <w:proofErr w:type="gramStart"/>
            <w:r>
              <w:rPr>
                <w:rFonts w:ascii="仿宋_GB2312" w:eastAsia="仿宋_GB2312" w:hint="eastAsia"/>
                <w:sz w:val="22"/>
                <w:szCs w:val="22"/>
              </w:rPr>
              <w:t>徐首红</w:t>
            </w:r>
            <w:proofErr w:type="gramEnd"/>
          </w:p>
        </w:tc>
        <w:tc>
          <w:tcPr>
            <w:tcW w:w="1701" w:type="dxa"/>
            <w:gridSpan w:val="2"/>
            <w:vAlign w:val="center"/>
          </w:tcPr>
          <w:p w14:paraId="62F72904" w14:textId="77777777" w:rsidR="009907C0" w:rsidRDefault="00000000">
            <w:pPr>
              <w:jc w:val="center"/>
              <w:rPr>
                <w:rFonts w:ascii="仿宋_GB2312" w:eastAsia="仿宋_GB2312"/>
                <w:sz w:val="22"/>
                <w:szCs w:val="22"/>
              </w:rPr>
            </w:pPr>
            <w:r>
              <w:rPr>
                <w:rFonts w:hint="eastAsia"/>
                <w:sz w:val="22"/>
                <w:szCs w:val="22"/>
              </w:rPr>
              <w:t>所在院系</w:t>
            </w:r>
          </w:p>
        </w:tc>
        <w:tc>
          <w:tcPr>
            <w:tcW w:w="5535" w:type="dxa"/>
            <w:gridSpan w:val="6"/>
            <w:vAlign w:val="center"/>
          </w:tcPr>
          <w:p w14:paraId="62F72905" w14:textId="77777777" w:rsidR="009907C0" w:rsidRDefault="00000000">
            <w:pPr>
              <w:jc w:val="center"/>
              <w:rPr>
                <w:rFonts w:ascii="仿宋_GB2312" w:eastAsia="仿宋_GB2312"/>
                <w:sz w:val="22"/>
                <w:szCs w:val="22"/>
              </w:rPr>
            </w:pPr>
            <w:r>
              <w:rPr>
                <w:rFonts w:ascii="仿宋_GB2312" w:eastAsia="仿宋_GB2312" w:hint="eastAsia"/>
                <w:sz w:val="22"/>
                <w:szCs w:val="22"/>
              </w:rPr>
              <w:t>化学与分子工程学院</w:t>
            </w:r>
          </w:p>
        </w:tc>
      </w:tr>
      <w:tr w:rsidR="009907C0" w14:paraId="62F7290E" w14:textId="77777777">
        <w:trPr>
          <w:cantSplit/>
          <w:trHeight w:val="549"/>
          <w:jc w:val="center"/>
        </w:trPr>
        <w:tc>
          <w:tcPr>
            <w:tcW w:w="481" w:type="dxa"/>
            <w:vMerge/>
            <w:vAlign w:val="center"/>
          </w:tcPr>
          <w:p w14:paraId="62F72907" w14:textId="77777777" w:rsidR="009907C0" w:rsidRDefault="009907C0">
            <w:pPr>
              <w:jc w:val="center"/>
              <w:rPr>
                <w:sz w:val="22"/>
                <w:szCs w:val="22"/>
              </w:rPr>
            </w:pPr>
          </w:p>
        </w:tc>
        <w:tc>
          <w:tcPr>
            <w:tcW w:w="1108" w:type="dxa"/>
            <w:gridSpan w:val="2"/>
            <w:vAlign w:val="center"/>
          </w:tcPr>
          <w:p w14:paraId="62F72908" w14:textId="77777777" w:rsidR="009907C0" w:rsidRDefault="00000000">
            <w:pPr>
              <w:jc w:val="center"/>
              <w:rPr>
                <w:sz w:val="22"/>
                <w:szCs w:val="22"/>
              </w:rPr>
            </w:pPr>
            <w:r>
              <w:rPr>
                <w:rFonts w:hint="eastAsia"/>
                <w:sz w:val="22"/>
                <w:szCs w:val="22"/>
              </w:rPr>
              <w:t>联系电话</w:t>
            </w:r>
          </w:p>
        </w:tc>
        <w:tc>
          <w:tcPr>
            <w:tcW w:w="1114" w:type="dxa"/>
            <w:gridSpan w:val="2"/>
            <w:vAlign w:val="center"/>
          </w:tcPr>
          <w:p w14:paraId="62F72909" w14:textId="77777777" w:rsidR="009907C0" w:rsidRDefault="00000000">
            <w:pPr>
              <w:jc w:val="center"/>
              <w:rPr>
                <w:rFonts w:ascii="仿宋_GB2312" w:eastAsia="仿宋_GB2312"/>
                <w:sz w:val="22"/>
                <w:szCs w:val="22"/>
              </w:rPr>
            </w:pPr>
            <w:r>
              <w:rPr>
                <w:rFonts w:ascii="仿宋_GB2312" w:eastAsia="仿宋_GB2312" w:hint="eastAsia"/>
                <w:sz w:val="22"/>
                <w:szCs w:val="22"/>
              </w:rPr>
              <w:t>13162383</w:t>
            </w:r>
            <w:r>
              <w:rPr>
                <w:rFonts w:ascii="仿宋_GB2312" w:eastAsia="仿宋_GB2312"/>
                <w:sz w:val="22"/>
                <w:szCs w:val="22"/>
              </w:rPr>
              <w:t>544</w:t>
            </w:r>
          </w:p>
        </w:tc>
        <w:tc>
          <w:tcPr>
            <w:tcW w:w="1134" w:type="dxa"/>
            <w:vAlign w:val="center"/>
          </w:tcPr>
          <w:p w14:paraId="62F7290A" w14:textId="77777777" w:rsidR="009907C0" w:rsidRDefault="00000000">
            <w:pPr>
              <w:jc w:val="center"/>
              <w:rPr>
                <w:rFonts w:ascii="仿宋_GB2312" w:eastAsia="仿宋_GB2312"/>
                <w:sz w:val="22"/>
                <w:szCs w:val="22"/>
              </w:rPr>
            </w:pPr>
            <w:r>
              <w:rPr>
                <w:rFonts w:hint="eastAsia"/>
                <w:sz w:val="22"/>
                <w:szCs w:val="22"/>
              </w:rPr>
              <w:t>手机</w:t>
            </w:r>
          </w:p>
        </w:tc>
        <w:tc>
          <w:tcPr>
            <w:tcW w:w="1418" w:type="dxa"/>
            <w:gridSpan w:val="2"/>
            <w:vAlign w:val="center"/>
          </w:tcPr>
          <w:p w14:paraId="62F7290B" w14:textId="77777777" w:rsidR="009907C0" w:rsidRDefault="00000000">
            <w:pPr>
              <w:jc w:val="center"/>
              <w:rPr>
                <w:rFonts w:ascii="仿宋_GB2312" w:eastAsia="仿宋_GB2312"/>
                <w:sz w:val="22"/>
                <w:szCs w:val="22"/>
              </w:rPr>
            </w:pPr>
            <w:r>
              <w:rPr>
                <w:rFonts w:ascii="仿宋_GB2312" w:eastAsia="仿宋_GB2312" w:hint="eastAsia"/>
                <w:sz w:val="22"/>
                <w:szCs w:val="22"/>
              </w:rPr>
              <w:t>13162383544</w:t>
            </w:r>
          </w:p>
        </w:tc>
        <w:tc>
          <w:tcPr>
            <w:tcW w:w="992" w:type="dxa"/>
            <w:gridSpan w:val="2"/>
            <w:vAlign w:val="center"/>
          </w:tcPr>
          <w:p w14:paraId="62F7290C" w14:textId="77777777" w:rsidR="009907C0" w:rsidRDefault="00000000">
            <w:pPr>
              <w:jc w:val="center"/>
              <w:rPr>
                <w:rFonts w:eastAsia="仿宋_GB2312"/>
                <w:sz w:val="22"/>
                <w:szCs w:val="22"/>
              </w:rPr>
            </w:pPr>
            <w:r>
              <w:rPr>
                <w:rFonts w:eastAsia="仿宋_GB2312"/>
                <w:sz w:val="22"/>
                <w:szCs w:val="22"/>
              </w:rPr>
              <w:t>E-mail</w:t>
            </w:r>
          </w:p>
        </w:tc>
        <w:tc>
          <w:tcPr>
            <w:tcW w:w="3692" w:type="dxa"/>
            <w:gridSpan w:val="3"/>
            <w:vAlign w:val="center"/>
          </w:tcPr>
          <w:p w14:paraId="62F7290D" w14:textId="77777777" w:rsidR="009907C0" w:rsidRDefault="00000000">
            <w:pPr>
              <w:jc w:val="center"/>
              <w:rPr>
                <w:rFonts w:ascii="仿宋_GB2312" w:eastAsia="仿宋_GB2312"/>
                <w:sz w:val="22"/>
                <w:szCs w:val="22"/>
              </w:rPr>
            </w:pPr>
            <w:r>
              <w:rPr>
                <w:rFonts w:ascii="仿宋_GB2312" w:eastAsia="仿宋_GB2312" w:hint="eastAsia"/>
                <w:sz w:val="22"/>
                <w:szCs w:val="22"/>
              </w:rPr>
              <w:t>xushouhong@ecust.edu.cn</w:t>
            </w:r>
          </w:p>
        </w:tc>
      </w:tr>
      <w:tr w:rsidR="009907C0" w14:paraId="62F72914" w14:textId="77777777">
        <w:trPr>
          <w:cantSplit/>
          <w:trHeight w:val="581"/>
          <w:jc w:val="center"/>
        </w:trPr>
        <w:tc>
          <w:tcPr>
            <w:tcW w:w="481" w:type="dxa"/>
            <w:vMerge/>
            <w:vAlign w:val="center"/>
          </w:tcPr>
          <w:p w14:paraId="62F7290F" w14:textId="77777777" w:rsidR="009907C0" w:rsidRDefault="009907C0">
            <w:pPr>
              <w:rPr>
                <w:sz w:val="22"/>
                <w:szCs w:val="22"/>
              </w:rPr>
            </w:pPr>
          </w:p>
        </w:tc>
        <w:tc>
          <w:tcPr>
            <w:tcW w:w="1372" w:type="dxa"/>
            <w:gridSpan w:val="3"/>
            <w:vAlign w:val="center"/>
          </w:tcPr>
          <w:p w14:paraId="62F72910" w14:textId="77777777" w:rsidR="009907C0" w:rsidRDefault="00000000">
            <w:pPr>
              <w:jc w:val="center"/>
              <w:rPr>
                <w:rFonts w:ascii="仿宋_GB2312" w:eastAsia="仿宋_GB2312"/>
                <w:sz w:val="22"/>
                <w:szCs w:val="22"/>
              </w:rPr>
            </w:pPr>
            <w:r>
              <w:rPr>
                <w:rFonts w:hint="eastAsia"/>
                <w:sz w:val="22"/>
                <w:szCs w:val="22"/>
              </w:rPr>
              <w:t>职务</w:t>
            </w:r>
            <w:r>
              <w:rPr>
                <w:rFonts w:hint="eastAsia"/>
                <w:sz w:val="22"/>
                <w:szCs w:val="22"/>
              </w:rPr>
              <w:t>/</w:t>
            </w:r>
            <w:r>
              <w:rPr>
                <w:rFonts w:hint="eastAsia"/>
                <w:sz w:val="22"/>
                <w:szCs w:val="22"/>
              </w:rPr>
              <w:t>职称</w:t>
            </w:r>
          </w:p>
        </w:tc>
        <w:tc>
          <w:tcPr>
            <w:tcW w:w="2551" w:type="dxa"/>
            <w:gridSpan w:val="3"/>
            <w:vAlign w:val="center"/>
          </w:tcPr>
          <w:p w14:paraId="62F72911" w14:textId="77777777" w:rsidR="009907C0" w:rsidRDefault="00000000">
            <w:pPr>
              <w:jc w:val="center"/>
              <w:rPr>
                <w:rFonts w:ascii="仿宋_GB2312" w:eastAsia="仿宋_GB2312"/>
                <w:sz w:val="22"/>
                <w:szCs w:val="22"/>
              </w:rPr>
            </w:pPr>
            <w:r>
              <w:rPr>
                <w:rFonts w:ascii="仿宋_GB2312" w:eastAsia="仿宋_GB2312" w:hint="eastAsia"/>
                <w:sz w:val="22"/>
                <w:szCs w:val="22"/>
              </w:rPr>
              <w:t>教授</w:t>
            </w:r>
          </w:p>
        </w:tc>
        <w:tc>
          <w:tcPr>
            <w:tcW w:w="1560" w:type="dxa"/>
            <w:gridSpan w:val="2"/>
            <w:vAlign w:val="center"/>
          </w:tcPr>
          <w:p w14:paraId="62F72912" w14:textId="77777777" w:rsidR="009907C0" w:rsidRDefault="00000000">
            <w:pPr>
              <w:jc w:val="center"/>
              <w:rPr>
                <w:sz w:val="22"/>
                <w:szCs w:val="22"/>
              </w:rPr>
            </w:pPr>
            <w:r>
              <w:rPr>
                <w:rFonts w:hint="eastAsia"/>
                <w:sz w:val="22"/>
                <w:szCs w:val="22"/>
              </w:rPr>
              <w:t>主要研究方向</w:t>
            </w:r>
          </w:p>
        </w:tc>
        <w:tc>
          <w:tcPr>
            <w:tcW w:w="3975" w:type="dxa"/>
            <w:gridSpan w:val="4"/>
            <w:vAlign w:val="center"/>
          </w:tcPr>
          <w:p w14:paraId="62F72913" w14:textId="77777777" w:rsidR="009907C0" w:rsidRDefault="00000000">
            <w:pPr>
              <w:jc w:val="center"/>
              <w:rPr>
                <w:rFonts w:ascii="仿宋_GB2312" w:eastAsia="仿宋_GB2312"/>
                <w:sz w:val="22"/>
                <w:szCs w:val="22"/>
              </w:rPr>
            </w:pPr>
            <w:r>
              <w:rPr>
                <w:rFonts w:ascii="仿宋_GB2312" w:eastAsia="仿宋_GB2312" w:hint="eastAsia"/>
                <w:sz w:val="22"/>
                <w:szCs w:val="22"/>
              </w:rPr>
              <w:t>胶体界面化学、智能材料</w:t>
            </w:r>
          </w:p>
        </w:tc>
      </w:tr>
    </w:tbl>
    <w:p w14:paraId="62F72915" w14:textId="77777777" w:rsidR="009907C0" w:rsidRDefault="009907C0">
      <w:pPr>
        <w:spacing w:before="312" w:after="156"/>
        <w:rPr>
          <w:b/>
          <w:sz w:val="32"/>
          <w:szCs w:val="32"/>
        </w:rPr>
      </w:pPr>
    </w:p>
    <w:p w14:paraId="62F72916" w14:textId="77777777" w:rsidR="009907C0" w:rsidRDefault="00000000">
      <w:pPr>
        <w:spacing w:before="312" w:after="156"/>
        <w:rPr>
          <w:b/>
          <w:sz w:val="32"/>
          <w:szCs w:val="32"/>
        </w:rPr>
      </w:pPr>
      <w:r>
        <w:rPr>
          <w:b/>
          <w:sz w:val="32"/>
          <w:szCs w:val="32"/>
        </w:rPr>
        <w:br w:type="page"/>
      </w:r>
      <w:r>
        <w:rPr>
          <w:rFonts w:hint="eastAsia"/>
          <w:b/>
          <w:sz w:val="32"/>
          <w:szCs w:val="32"/>
        </w:rPr>
        <w:lastRenderedPageBreak/>
        <w:t>二、项目申请理由</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36"/>
        <w:gridCol w:w="9458"/>
      </w:tblGrid>
      <w:tr w:rsidR="009907C0" w14:paraId="62F7291C" w14:textId="77777777">
        <w:trPr>
          <w:trHeight w:val="612"/>
          <w:jc w:val="center"/>
        </w:trPr>
        <w:tc>
          <w:tcPr>
            <w:tcW w:w="336" w:type="dxa"/>
            <w:vMerge w:val="restart"/>
            <w:vAlign w:val="center"/>
          </w:tcPr>
          <w:p w14:paraId="62F72917" w14:textId="77777777" w:rsidR="009907C0" w:rsidRDefault="00000000">
            <w:pPr>
              <w:rPr>
                <w:b/>
                <w:sz w:val="24"/>
              </w:rPr>
            </w:pPr>
            <w:r>
              <w:rPr>
                <w:rFonts w:hint="eastAsia"/>
                <w:sz w:val="22"/>
                <w:szCs w:val="22"/>
              </w:rPr>
              <w:tab/>
            </w:r>
            <w:r>
              <w:rPr>
                <w:rFonts w:hint="eastAsia"/>
                <w:b/>
                <w:sz w:val="24"/>
              </w:rPr>
              <w:t>项</w:t>
            </w:r>
          </w:p>
          <w:p w14:paraId="62F72918" w14:textId="77777777" w:rsidR="009907C0" w:rsidRDefault="00000000">
            <w:pPr>
              <w:rPr>
                <w:b/>
                <w:sz w:val="24"/>
              </w:rPr>
            </w:pPr>
            <w:r>
              <w:rPr>
                <w:rFonts w:hint="eastAsia"/>
                <w:b/>
                <w:sz w:val="24"/>
              </w:rPr>
              <w:t>目</w:t>
            </w:r>
          </w:p>
          <w:p w14:paraId="62F72919" w14:textId="77777777" w:rsidR="009907C0" w:rsidRDefault="00000000">
            <w:pPr>
              <w:rPr>
                <w:b/>
                <w:sz w:val="24"/>
              </w:rPr>
            </w:pPr>
            <w:r>
              <w:rPr>
                <w:rFonts w:hint="eastAsia"/>
                <w:b/>
                <w:sz w:val="24"/>
              </w:rPr>
              <w:t>背景</w:t>
            </w:r>
            <w:proofErr w:type="gramStart"/>
            <w:r>
              <w:rPr>
                <w:rFonts w:hint="eastAsia"/>
                <w:b/>
                <w:sz w:val="24"/>
              </w:rPr>
              <w:t>和</w:t>
            </w:r>
            <w:proofErr w:type="gramEnd"/>
          </w:p>
          <w:p w14:paraId="62F7291A" w14:textId="77777777" w:rsidR="009907C0" w:rsidRDefault="00000000">
            <w:pPr>
              <w:rPr>
                <w:b/>
                <w:sz w:val="24"/>
              </w:rPr>
            </w:pPr>
            <w:r>
              <w:rPr>
                <w:rFonts w:hint="eastAsia"/>
                <w:b/>
                <w:sz w:val="24"/>
              </w:rPr>
              <w:t>意义</w:t>
            </w:r>
          </w:p>
        </w:tc>
        <w:tc>
          <w:tcPr>
            <w:tcW w:w="9458" w:type="dxa"/>
          </w:tcPr>
          <w:p w14:paraId="62F7291B" w14:textId="77777777" w:rsidR="009907C0" w:rsidRDefault="00000000">
            <w:pPr>
              <w:spacing w:line="300" w:lineRule="auto"/>
              <w:rPr>
                <w:rFonts w:ascii="仿宋_GB2312" w:eastAsia="仿宋_GB2312" w:hAnsi="宋体" w:hint="eastAsia"/>
                <w:sz w:val="24"/>
              </w:rPr>
            </w:pPr>
            <w:r>
              <w:rPr>
                <w:rFonts w:ascii="仿宋_GB2312" w:eastAsia="仿宋_GB2312" w:hAnsi="宋体" w:hint="eastAsia"/>
                <w:sz w:val="24"/>
              </w:rPr>
              <w:t>（选题的来源，国内外</w:t>
            </w:r>
            <w:r>
              <w:rPr>
                <w:rFonts w:ascii="仿宋_GB2312" w:eastAsia="仿宋_GB2312" w:hint="eastAsia"/>
                <w:sz w:val="24"/>
              </w:rPr>
              <w:t>同类研究工作的现状、方法、难点等，前期准备工作</w:t>
            </w:r>
            <w:r>
              <w:rPr>
                <w:rFonts w:ascii="仿宋_GB2312" w:eastAsia="仿宋_GB2312" w:hAnsi="宋体" w:hint="eastAsia"/>
                <w:sz w:val="24"/>
              </w:rPr>
              <w:t>）</w:t>
            </w:r>
          </w:p>
        </w:tc>
      </w:tr>
      <w:tr w:rsidR="009907C0" w14:paraId="62F72951" w14:textId="77777777">
        <w:trPr>
          <w:trHeight w:val="1908"/>
          <w:jc w:val="center"/>
        </w:trPr>
        <w:tc>
          <w:tcPr>
            <w:tcW w:w="336" w:type="dxa"/>
            <w:vMerge/>
            <w:vAlign w:val="center"/>
          </w:tcPr>
          <w:p w14:paraId="62F7291D" w14:textId="77777777" w:rsidR="009907C0" w:rsidRDefault="009907C0">
            <w:pPr>
              <w:spacing w:line="300" w:lineRule="auto"/>
              <w:rPr>
                <w:sz w:val="22"/>
                <w:szCs w:val="22"/>
              </w:rPr>
            </w:pPr>
          </w:p>
        </w:tc>
        <w:tc>
          <w:tcPr>
            <w:tcW w:w="9458" w:type="dxa"/>
            <w:tcBorders>
              <w:bottom w:val="single" w:sz="4" w:space="0" w:color="auto"/>
            </w:tcBorders>
          </w:tcPr>
          <w:p w14:paraId="62F7291E" w14:textId="77777777" w:rsidR="009907C0" w:rsidRDefault="00000000">
            <w:pPr>
              <w:spacing w:line="300" w:lineRule="auto"/>
              <w:rPr>
                <w:sz w:val="24"/>
              </w:rPr>
            </w:pPr>
            <w:r>
              <w:rPr>
                <w:sz w:val="24"/>
              </w:rPr>
              <w:t>2.1</w:t>
            </w:r>
            <w:r>
              <w:rPr>
                <w:sz w:val="24"/>
              </w:rPr>
              <w:t>选题来源</w:t>
            </w:r>
          </w:p>
          <w:p w14:paraId="62F7291F" w14:textId="77777777" w:rsidR="009907C0" w:rsidRDefault="00000000">
            <w:pPr>
              <w:spacing w:line="300" w:lineRule="auto"/>
              <w:ind w:firstLineChars="200" w:firstLine="480"/>
              <w:rPr>
                <w:sz w:val="24"/>
              </w:rPr>
            </w:pPr>
            <w:r>
              <w:rPr>
                <w:sz w:val="24"/>
              </w:rPr>
              <w:t>癌症是一种严重危害人类健康的疾病，传统的治疗手段有手术、放疗和化疗，其中化疗是</w:t>
            </w:r>
            <w:proofErr w:type="gramStart"/>
            <w:r>
              <w:rPr>
                <w:sz w:val="24"/>
              </w:rPr>
              <w:t>最</w:t>
            </w:r>
            <w:proofErr w:type="gramEnd"/>
            <w:r>
              <w:rPr>
                <w:sz w:val="24"/>
              </w:rPr>
              <w:t>常规方法之一，临床上存在药物毒副作用大、抗肿瘤效率低及多药耐药性等难题。因此，在癌症治疗中，</w:t>
            </w:r>
            <w:r>
              <w:rPr>
                <w:rFonts w:hint="eastAsia"/>
                <w:sz w:val="24"/>
              </w:rPr>
              <w:t>新型治疗方法</w:t>
            </w:r>
            <w:r>
              <w:rPr>
                <w:sz w:val="24"/>
              </w:rPr>
              <w:t>的研究尤为重要。载药体系在医学领域具有广泛的应用和重要的意义。它们不仅可以提高药物的生物利用</w:t>
            </w:r>
            <w:r>
              <w:rPr>
                <w:rFonts w:hint="eastAsia"/>
                <w:sz w:val="24"/>
              </w:rPr>
              <w:t>率</w:t>
            </w:r>
            <w:r>
              <w:rPr>
                <w:sz w:val="24"/>
              </w:rPr>
              <w:t>，减少药物的副作用，还可以实现药物的靶向递送，提高治疗效果。</w:t>
            </w:r>
          </w:p>
          <w:p w14:paraId="62F72920" w14:textId="77777777" w:rsidR="009907C0" w:rsidRDefault="00000000">
            <w:pPr>
              <w:spacing w:line="300" w:lineRule="auto"/>
              <w:ind w:firstLineChars="200" w:firstLine="480"/>
              <w:rPr>
                <w:sz w:val="24"/>
                <w:vertAlign w:val="superscript"/>
              </w:rPr>
            </w:pPr>
            <w:r>
              <w:rPr>
                <w:sz w:val="24"/>
              </w:rPr>
              <w:t>癌细胞与正常细胞之间存在关键差异，这些差异是实现靶</w:t>
            </w:r>
            <w:proofErr w:type="gramStart"/>
            <w:r>
              <w:rPr>
                <w:sz w:val="24"/>
              </w:rPr>
              <w:t>向治疗</w:t>
            </w:r>
            <w:proofErr w:type="gramEnd"/>
            <w:r>
              <w:rPr>
                <w:sz w:val="24"/>
              </w:rPr>
              <w:t>的基础。癌细胞表现出对药物代谢和排泄的不同反应，这使得某些药物可以专门针对癌细胞发挥作用，而对正常细胞影响较小。例如，基质金属蛋白酶</w:t>
            </w:r>
            <w:r>
              <w:rPr>
                <w:sz w:val="24"/>
              </w:rPr>
              <w:t>-9</w:t>
            </w:r>
            <w:r>
              <w:rPr>
                <w:sz w:val="24"/>
              </w:rPr>
              <w:t>（</w:t>
            </w:r>
            <w:r>
              <w:rPr>
                <w:sz w:val="24"/>
              </w:rPr>
              <w:t>MMP-9</w:t>
            </w:r>
            <w:r>
              <w:rPr>
                <w:sz w:val="24"/>
              </w:rPr>
              <w:t>）在非小细胞肺癌患者中的表达水平显著高于健康对照组（观察组</w:t>
            </w:r>
            <w:r>
              <w:rPr>
                <w:sz w:val="24"/>
              </w:rPr>
              <w:t xml:space="preserve">175.68 ± 16.09 ng/ml vs </w:t>
            </w:r>
            <w:r>
              <w:rPr>
                <w:sz w:val="24"/>
              </w:rPr>
              <w:t>对照组</w:t>
            </w:r>
            <w:r>
              <w:rPr>
                <w:sz w:val="24"/>
              </w:rPr>
              <w:t>141.91 ± 14.14 ng/ml</w:t>
            </w:r>
            <w:r>
              <w:rPr>
                <w:sz w:val="24"/>
              </w:rPr>
              <w:t>），这种差异使得</w:t>
            </w:r>
            <w:r>
              <w:rPr>
                <w:sz w:val="24"/>
              </w:rPr>
              <w:t>MMP-9</w:t>
            </w:r>
            <w:r>
              <w:rPr>
                <w:sz w:val="24"/>
              </w:rPr>
              <w:t>成为潜在的非小细胞肺癌治疗的靶向标志物。这些发现</w:t>
            </w:r>
            <w:r>
              <w:rPr>
                <w:rFonts w:hint="eastAsia"/>
                <w:sz w:val="24"/>
              </w:rPr>
              <w:t>强调</w:t>
            </w:r>
            <w:r>
              <w:rPr>
                <w:sz w:val="24"/>
              </w:rPr>
              <w:t>了靶</w:t>
            </w:r>
            <w:proofErr w:type="gramStart"/>
            <w:r>
              <w:rPr>
                <w:sz w:val="24"/>
              </w:rPr>
              <w:t>向治疗</w:t>
            </w:r>
            <w:proofErr w:type="gramEnd"/>
            <w:r>
              <w:rPr>
                <w:sz w:val="24"/>
              </w:rPr>
              <w:t>的</w:t>
            </w:r>
            <w:r>
              <w:rPr>
                <w:rFonts w:hint="eastAsia"/>
                <w:sz w:val="24"/>
              </w:rPr>
              <w:t>潜在应用价值</w:t>
            </w:r>
            <w:r>
              <w:rPr>
                <w:sz w:val="24"/>
              </w:rPr>
              <w:t>，即利用癌细胞与正常细胞的这些差异，开发能够精确打击癌细胞而保护正常细胞的药物，从而提高治疗效果并减少副作用。</w:t>
            </w:r>
            <w:r>
              <w:rPr>
                <w:sz w:val="24"/>
                <w:vertAlign w:val="superscript"/>
              </w:rPr>
              <w:t>[1]</w:t>
            </w:r>
          </w:p>
          <w:p w14:paraId="62F72921" w14:textId="77777777" w:rsidR="009907C0" w:rsidRDefault="00000000">
            <w:pPr>
              <w:spacing w:line="300" w:lineRule="auto"/>
              <w:ind w:firstLineChars="200" w:firstLine="480"/>
              <w:rPr>
                <w:vertAlign w:val="superscript"/>
              </w:rPr>
            </w:pPr>
            <w:r>
              <w:rPr>
                <w:sz w:val="24"/>
              </w:rPr>
              <w:t>研究还发现乳腺癌患者的</w:t>
            </w:r>
            <w:r>
              <w:rPr>
                <w:sz w:val="24"/>
              </w:rPr>
              <w:t>MMP-2</w:t>
            </w:r>
            <w:r>
              <w:rPr>
                <w:sz w:val="24"/>
              </w:rPr>
              <w:t>和</w:t>
            </w:r>
            <w:r>
              <w:rPr>
                <w:sz w:val="24"/>
              </w:rPr>
              <w:t>MMP-9</w:t>
            </w:r>
            <w:r>
              <w:rPr>
                <w:sz w:val="24"/>
              </w:rPr>
              <w:t>水平显著高于健康人群及良性乳腺疾病患者。乳腺癌组织中</w:t>
            </w:r>
            <w:r>
              <w:rPr>
                <w:sz w:val="24"/>
              </w:rPr>
              <w:t>MMP-2</w:t>
            </w:r>
            <w:r>
              <w:rPr>
                <w:sz w:val="24"/>
              </w:rPr>
              <w:t>和</w:t>
            </w:r>
            <w:r>
              <w:rPr>
                <w:sz w:val="24"/>
              </w:rPr>
              <w:t>MMP-9</w:t>
            </w:r>
            <w:r>
              <w:rPr>
                <w:sz w:val="24"/>
              </w:rPr>
              <w:t>的蛋白质水平显著高于正常乳腺组织。例如，</w:t>
            </w:r>
            <w:r>
              <w:rPr>
                <w:sz w:val="24"/>
              </w:rPr>
              <w:t>MMP-2</w:t>
            </w:r>
            <w:r>
              <w:rPr>
                <w:sz w:val="24"/>
              </w:rPr>
              <w:t>在乳腺癌组织中的表达显著高于正常组织（平均约</w:t>
            </w:r>
            <w:r>
              <w:rPr>
                <w:sz w:val="24"/>
              </w:rPr>
              <w:t>182.4 ng/mg vs 4.3 ng/mg</w:t>
            </w:r>
            <w:r>
              <w:rPr>
                <w:sz w:val="24"/>
              </w:rPr>
              <w:t>），而</w:t>
            </w:r>
            <w:r>
              <w:rPr>
                <w:sz w:val="24"/>
              </w:rPr>
              <w:t>MMP-9</w:t>
            </w:r>
            <w:r>
              <w:rPr>
                <w:sz w:val="24"/>
              </w:rPr>
              <w:t>在乳腺癌组织中的表达也是正常组织的数倍。同时乳腺癌患者血浆中</w:t>
            </w:r>
            <w:r>
              <w:rPr>
                <w:sz w:val="24"/>
              </w:rPr>
              <w:t>MMP-2</w:t>
            </w:r>
            <w:r>
              <w:rPr>
                <w:sz w:val="24"/>
              </w:rPr>
              <w:t>和</w:t>
            </w:r>
            <w:r>
              <w:rPr>
                <w:sz w:val="24"/>
              </w:rPr>
              <w:t>MMP-9</w:t>
            </w:r>
            <w:r>
              <w:rPr>
                <w:sz w:val="24"/>
              </w:rPr>
              <w:t>的浓度明显高于健康对照组和良性乳腺疾病患者，且与</w:t>
            </w:r>
            <w:r>
              <w:rPr>
                <w:sz w:val="24"/>
              </w:rPr>
              <w:t>TNM</w:t>
            </w:r>
            <w:r>
              <w:rPr>
                <w:sz w:val="24"/>
              </w:rPr>
              <w:t>分期相关。</w:t>
            </w:r>
            <w:r>
              <w:rPr>
                <w:sz w:val="24"/>
                <w:vertAlign w:val="superscript"/>
              </w:rPr>
              <w:t>[2]</w:t>
            </w:r>
          </w:p>
          <w:p w14:paraId="62F72922" w14:textId="77777777" w:rsidR="009907C0" w:rsidRDefault="00000000">
            <w:pPr>
              <w:spacing w:line="300" w:lineRule="auto"/>
              <w:ind w:firstLineChars="200" w:firstLine="480"/>
              <w:rPr>
                <w:sz w:val="24"/>
              </w:rPr>
            </w:pPr>
            <w:r>
              <w:rPr>
                <w:sz w:val="24"/>
              </w:rPr>
              <w:t>为了解决临床治疗中载药</w:t>
            </w:r>
            <w:proofErr w:type="gramStart"/>
            <w:r>
              <w:rPr>
                <w:sz w:val="24"/>
              </w:rPr>
              <w:t>体系统</w:t>
            </w:r>
            <w:proofErr w:type="gramEnd"/>
            <w:r>
              <w:rPr>
                <w:sz w:val="24"/>
              </w:rPr>
              <w:t>缺乏靶向性等问题，我们设计了一</w:t>
            </w:r>
            <w:r>
              <w:rPr>
                <w:rFonts w:hint="eastAsia"/>
                <w:sz w:val="24"/>
              </w:rPr>
              <w:t>种</w:t>
            </w:r>
            <w:r>
              <w:rPr>
                <w:sz w:val="24"/>
              </w:rPr>
              <w:t>可注射凝胶体系。该体系能够改变药物进入人体的方式和在体内的分布、控制药物的释放速</w:t>
            </w:r>
            <w:r>
              <w:rPr>
                <w:rFonts w:hint="eastAsia"/>
                <w:sz w:val="24"/>
              </w:rPr>
              <w:t>率</w:t>
            </w:r>
            <w:r>
              <w:rPr>
                <w:sz w:val="24"/>
              </w:rPr>
              <w:t>并将药物输送到靶向器官，其在控释制剂的研究中</w:t>
            </w:r>
            <w:r>
              <w:rPr>
                <w:rFonts w:hint="eastAsia"/>
                <w:sz w:val="24"/>
              </w:rPr>
              <w:t>有巨大的潜力</w:t>
            </w:r>
            <w:r>
              <w:rPr>
                <w:sz w:val="24"/>
              </w:rPr>
              <w:t>。本次设计的可注射凝胶体系能够对肿瘤细胞内、外微环境发生响应，从而精准控制药物释放的</w:t>
            </w:r>
            <w:r>
              <w:rPr>
                <w:rFonts w:hint="eastAsia"/>
                <w:sz w:val="24"/>
              </w:rPr>
              <w:t>部位</w:t>
            </w:r>
            <w:r>
              <w:rPr>
                <w:sz w:val="24"/>
              </w:rPr>
              <w:t>、时间、速率，提高药物的治疗效果，降低化疗药物的毒副作用。</w:t>
            </w:r>
          </w:p>
          <w:p w14:paraId="62F72925" w14:textId="77777777" w:rsidR="009907C0" w:rsidRDefault="00000000">
            <w:pPr>
              <w:spacing w:beforeLines="100" w:before="312" w:line="300" w:lineRule="auto"/>
              <w:rPr>
                <w:sz w:val="24"/>
              </w:rPr>
            </w:pPr>
            <w:r>
              <w:rPr>
                <w:sz w:val="24"/>
              </w:rPr>
              <w:t>2.2</w:t>
            </w:r>
            <w:r>
              <w:rPr>
                <w:sz w:val="24"/>
              </w:rPr>
              <w:t>国内外研究现状</w:t>
            </w:r>
          </w:p>
          <w:p w14:paraId="62F72927" w14:textId="77777777" w:rsidR="009907C0" w:rsidRDefault="00000000">
            <w:pPr>
              <w:spacing w:line="300" w:lineRule="auto"/>
              <w:ind w:firstLineChars="200" w:firstLine="480"/>
              <w:rPr>
                <w:sz w:val="24"/>
              </w:rPr>
            </w:pPr>
            <w:r>
              <w:rPr>
                <w:sz w:val="24"/>
              </w:rPr>
              <w:t>该研究的理论支持可分为三部分：载药胶束，载体</w:t>
            </w:r>
            <w:r>
              <w:rPr>
                <w:rFonts w:hint="eastAsia"/>
                <w:sz w:val="24"/>
              </w:rPr>
              <w:t>平台</w:t>
            </w:r>
            <w:r>
              <w:rPr>
                <w:sz w:val="24"/>
              </w:rPr>
              <w:t>可注射凝胶，</w:t>
            </w:r>
            <w:r>
              <w:rPr>
                <w:rFonts w:hint="eastAsia"/>
                <w:sz w:val="24"/>
              </w:rPr>
              <w:t>以下</w:t>
            </w:r>
            <w:r>
              <w:rPr>
                <w:sz w:val="24"/>
              </w:rPr>
              <w:t>将分别介绍这三方面的国内外研究现状。</w:t>
            </w:r>
          </w:p>
          <w:p w14:paraId="62F72928" w14:textId="77777777" w:rsidR="009907C0" w:rsidRDefault="00000000">
            <w:pPr>
              <w:spacing w:beforeLines="50" w:before="156" w:line="300" w:lineRule="auto"/>
              <w:rPr>
                <w:sz w:val="24"/>
              </w:rPr>
            </w:pPr>
            <w:r>
              <w:rPr>
                <w:rFonts w:hint="eastAsia"/>
                <w:sz w:val="24"/>
              </w:rPr>
              <w:t>2</w:t>
            </w:r>
            <w:r>
              <w:rPr>
                <w:sz w:val="24"/>
              </w:rPr>
              <w:t>.2.1</w:t>
            </w:r>
            <w:r>
              <w:rPr>
                <w:sz w:val="24"/>
              </w:rPr>
              <w:t>载药胶束</w:t>
            </w:r>
          </w:p>
          <w:p w14:paraId="62F72929" w14:textId="77777777" w:rsidR="009907C0" w:rsidRDefault="00000000">
            <w:pPr>
              <w:spacing w:line="300" w:lineRule="auto"/>
              <w:ind w:firstLineChars="200" w:firstLine="480"/>
            </w:pPr>
            <w:r>
              <w:rPr>
                <w:sz w:val="24"/>
              </w:rPr>
              <w:t>载药胶束作为一种重要的纳米药物载体，在国内外的研究和应用中</w:t>
            </w:r>
            <w:r>
              <w:rPr>
                <w:rFonts w:hint="eastAsia"/>
                <w:sz w:val="24"/>
              </w:rPr>
              <w:t>有着广泛的关注</w:t>
            </w:r>
            <w:r>
              <w:rPr>
                <w:sz w:val="24"/>
              </w:rPr>
              <w:t>。以下是一些关键的研究现状：</w:t>
            </w:r>
          </w:p>
          <w:p w14:paraId="62F7292A" w14:textId="77777777" w:rsidR="009907C0" w:rsidRDefault="00000000">
            <w:pPr>
              <w:spacing w:line="300" w:lineRule="auto"/>
              <w:ind w:firstLineChars="200" w:firstLine="480"/>
              <w:rPr>
                <w:sz w:val="24"/>
              </w:rPr>
            </w:pPr>
            <w:r>
              <w:rPr>
                <w:sz w:val="24"/>
              </w:rPr>
              <w:t>（</w:t>
            </w:r>
            <w:r>
              <w:rPr>
                <w:sz w:val="24"/>
              </w:rPr>
              <w:t>1</w:t>
            </w:r>
            <w:r>
              <w:rPr>
                <w:sz w:val="24"/>
              </w:rPr>
              <w:t>）</w:t>
            </w:r>
            <w:r>
              <w:rPr>
                <w:sz w:val="24"/>
              </w:rPr>
              <w:t>ROS</w:t>
            </w:r>
            <w:r>
              <w:rPr>
                <w:sz w:val="24"/>
              </w:rPr>
              <w:t>响应型核交联聚合物胶束的制备与研究：研究团队针对肿瘤微环境中活性氧簇（</w:t>
            </w:r>
            <w:r>
              <w:rPr>
                <w:sz w:val="24"/>
              </w:rPr>
              <w:t>ROS</w:t>
            </w:r>
            <w:r>
              <w:rPr>
                <w:sz w:val="24"/>
              </w:rPr>
              <w:t>）水平高于正常细胞的特点，设计并合成了基于硫缩酮键的</w:t>
            </w:r>
            <w:r>
              <w:rPr>
                <w:sz w:val="24"/>
              </w:rPr>
              <w:t>ROS</w:t>
            </w:r>
            <w:r>
              <w:rPr>
                <w:sz w:val="24"/>
              </w:rPr>
              <w:t>响应型</w:t>
            </w:r>
            <w:proofErr w:type="gramStart"/>
            <w:r>
              <w:rPr>
                <w:sz w:val="24"/>
              </w:rPr>
              <w:t>两亲</w:t>
            </w:r>
            <w:r>
              <w:rPr>
                <w:sz w:val="24"/>
              </w:rPr>
              <w:lastRenderedPageBreak/>
              <w:t>性</w:t>
            </w:r>
            <w:proofErr w:type="gramEnd"/>
            <w:r>
              <w:rPr>
                <w:sz w:val="24"/>
              </w:rPr>
              <w:t>载体材料</w:t>
            </w:r>
            <w:proofErr w:type="spellStart"/>
            <w:r>
              <w:rPr>
                <w:sz w:val="24"/>
              </w:rPr>
              <w:t>mPEG</w:t>
            </w:r>
            <w:proofErr w:type="spellEnd"/>
            <w:r>
              <w:rPr>
                <w:sz w:val="24"/>
              </w:rPr>
              <w:t>-b-PTK</w:t>
            </w:r>
            <w:r>
              <w:rPr>
                <w:sz w:val="24"/>
              </w:rPr>
              <w:t>。通过光交联法，这些材料能够自组装形成核交联胶束，有效包裹抗癌药物阿霉素（</w:t>
            </w:r>
            <w:r>
              <w:rPr>
                <w:sz w:val="24"/>
              </w:rPr>
              <w:t>DOX</w:t>
            </w:r>
            <w:r>
              <w:rPr>
                <w:sz w:val="24"/>
              </w:rPr>
              <w:t>），并展现出良好的生物相容性和稳定性。在</w:t>
            </w:r>
            <w:r>
              <w:rPr>
                <w:sz w:val="24"/>
              </w:rPr>
              <w:t>ROS</w:t>
            </w:r>
            <w:r>
              <w:rPr>
                <w:sz w:val="24"/>
              </w:rPr>
              <w:t>存在的情况下，硫缩酮键能够迅速断裂，导致胶束结构解体并释放药物，从而在肿瘤部位实现精准的药物递送。实验结果表明，这种核交联载药胶束在</w:t>
            </w:r>
            <w:r>
              <w:rPr>
                <w:sz w:val="24"/>
              </w:rPr>
              <w:t>HeLa</w:t>
            </w:r>
            <w:r>
              <w:rPr>
                <w:sz w:val="24"/>
              </w:rPr>
              <w:t>细胞中具有出色的内化能力，对正常细胞的毒性较低，而对癌细胞的毒性较高，显示出良好的抗癌活性。此外，该载药系统还能实现疏水性小分子药物和亲水性大分子药物的分区共载，有望实现两种不同药物的协同治疗作用。尽管如此，该载药系统的生物降解性和体内抗肿瘤效果仍需进一步研究，以验证其在临床应用中的潜力。</w:t>
            </w:r>
            <w:r>
              <w:rPr>
                <w:sz w:val="24"/>
                <w:vertAlign w:val="superscript"/>
              </w:rPr>
              <w:t>[</w:t>
            </w:r>
            <w:r>
              <w:rPr>
                <w:rFonts w:hint="eastAsia"/>
                <w:sz w:val="24"/>
                <w:vertAlign w:val="superscript"/>
              </w:rPr>
              <w:t>3</w:t>
            </w:r>
            <w:r>
              <w:rPr>
                <w:sz w:val="24"/>
                <w:vertAlign w:val="superscript"/>
              </w:rPr>
              <w:t>]</w:t>
            </w:r>
          </w:p>
          <w:p w14:paraId="4914FDF5" w14:textId="77777777" w:rsidR="009907C0" w:rsidRDefault="00000000">
            <w:pPr>
              <w:spacing w:beforeLines="50" w:before="156" w:line="300" w:lineRule="auto"/>
              <w:ind w:firstLineChars="200" w:firstLine="480"/>
              <w:rPr>
                <w:sz w:val="24"/>
              </w:rPr>
            </w:pPr>
            <w:r>
              <w:rPr>
                <w:sz w:val="24"/>
              </w:rPr>
              <w:t>（</w:t>
            </w:r>
            <w:r>
              <w:rPr>
                <w:sz w:val="24"/>
              </w:rPr>
              <w:t>2</w:t>
            </w:r>
            <w:r>
              <w:rPr>
                <w:sz w:val="24"/>
              </w:rPr>
              <w:t>）</w:t>
            </w:r>
            <w:r>
              <w:rPr>
                <w:color w:val="000000"/>
                <w:sz w:val="24"/>
                <w:shd w:val="clear" w:color="auto" w:fill="FFFFFF"/>
              </w:rPr>
              <w:t>自组装</w:t>
            </w:r>
            <w:r>
              <w:rPr>
                <w:color w:val="000000"/>
                <w:sz w:val="24"/>
                <w:shd w:val="clear" w:color="auto" w:fill="FFFFFF"/>
              </w:rPr>
              <w:t>NIPAM-PEG-NIPAM</w:t>
            </w:r>
            <w:r>
              <w:rPr>
                <w:color w:val="000000"/>
                <w:sz w:val="24"/>
                <w:shd w:val="clear" w:color="auto" w:fill="FFFFFF"/>
              </w:rPr>
              <w:t>聚合物纳米胶束</w:t>
            </w:r>
            <w:r>
              <w:rPr>
                <w:sz w:val="24"/>
              </w:rPr>
              <w:t>：聚合物胶束包括自聚集胶束、单分子胶束和交联的胶束，可采用化学结合法、物理</w:t>
            </w:r>
            <w:proofErr w:type="gramStart"/>
            <w:r>
              <w:rPr>
                <w:sz w:val="24"/>
              </w:rPr>
              <w:t>包载和聚</w:t>
            </w:r>
            <w:proofErr w:type="gramEnd"/>
            <w:r>
              <w:rPr>
                <w:sz w:val="24"/>
              </w:rPr>
              <w:t>离子</w:t>
            </w:r>
            <w:proofErr w:type="gramStart"/>
            <w:r>
              <w:rPr>
                <w:sz w:val="24"/>
              </w:rPr>
              <w:t>复合法包载</w:t>
            </w:r>
            <w:proofErr w:type="gramEnd"/>
            <w:r>
              <w:rPr>
                <w:sz w:val="24"/>
              </w:rPr>
              <w:t>药物。药物分子在聚合物胶束中的分布以及聚合物的降解行为决定了药物的释放速</w:t>
            </w:r>
            <w:r>
              <w:rPr>
                <w:rFonts w:hint="eastAsia"/>
                <w:sz w:val="24"/>
              </w:rPr>
              <w:t>率</w:t>
            </w:r>
            <w:r>
              <w:rPr>
                <w:sz w:val="24"/>
              </w:rPr>
              <w:t>。如</w:t>
            </w:r>
            <w:r>
              <w:rPr>
                <w:sz w:val="24"/>
              </w:rPr>
              <w:t>Marjan Bagheri‑</w:t>
            </w:r>
            <w:proofErr w:type="spellStart"/>
            <w:r>
              <w:rPr>
                <w:sz w:val="24"/>
              </w:rPr>
              <w:t>Meyabad</w:t>
            </w:r>
            <w:proofErr w:type="spellEnd"/>
            <w:r>
              <w:rPr>
                <w:sz w:val="24"/>
              </w:rPr>
              <w:t>团队</w:t>
            </w:r>
            <w:r>
              <w:rPr>
                <w:color w:val="000000"/>
                <w:sz w:val="24"/>
                <w:shd w:val="clear" w:color="auto" w:fill="FFFFFF"/>
              </w:rPr>
              <w:t>用于递送</w:t>
            </w:r>
            <w:proofErr w:type="gramStart"/>
            <w:r>
              <w:rPr>
                <w:color w:val="000000"/>
                <w:sz w:val="24"/>
                <w:shd w:val="clear" w:color="auto" w:fill="FFFFFF"/>
              </w:rPr>
              <w:t>锌</w:t>
            </w:r>
            <w:proofErr w:type="gramEnd"/>
            <w:r>
              <w:rPr>
                <w:color w:val="000000"/>
                <w:sz w:val="24"/>
                <w:shd w:val="clear" w:color="auto" w:fill="FFFFFF"/>
              </w:rPr>
              <w:t>原卟啉的自组装</w:t>
            </w:r>
            <w:r>
              <w:rPr>
                <w:color w:val="000000"/>
                <w:sz w:val="24"/>
                <w:shd w:val="clear" w:color="auto" w:fill="FFFFFF"/>
              </w:rPr>
              <w:t>NIPAM-PEG-NIPAM</w:t>
            </w:r>
            <w:r>
              <w:rPr>
                <w:color w:val="000000"/>
                <w:sz w:val="24"/>
                <w:shd w:val="clear" w:color="auto" w:fill="FFFFFF"/>
              </w:rPr>
              <w:t>聚合物纳米胶束。由于血红素加氧酶</w:t>
            </w:r>
            <w:proofErr w:type="gramStart"/>
            <w:r>
              <w:rPr>
                <w:color w:val="000000"/>
                <w:sz w:val="24"/>
                <w:shd w:val="clear" w:color="auto" w:fill="FFFFFF"/>
              </w:rPr>
              <w:t>抑制剂锌原卟啉</w:t>
            </w:r>
            <w:proofErr w:type="gramEnd"/>
            <w:r>
              <w:rPr>
                <w:color w:val="000000"/>
                <w:sz w:val="24"/>
                <w:shd w:val="clear" w:color="auto" w:fill="FFFFFF"/>
              </w:rPr>
              <w:t>（</w:t>
            </w:r>
            <w:proofErr w:type="spellStart"/>
            <w:r>
              <w:rPr>
                <w:color w:val="000000"/>
                <w:sz w:val="24"/>
                <w:shd w:val="clear" w:color="auto" w:fill="FFFFFF"/>
              </w:rPr>
              <w:t>ZnPP</w:t>
            </w:r>
            <w:proofErr w:type="spellEnd"/>
            <w:r>
              <w:rPr>
                <w:color w:val="000000"/>
                <w:sz w:val="24"/>
                <w:shd w:val="clear" w:color="auto" w:fill="FFFFFF"/>
              </w:rPr>
              <w:t>）溶解性差，不良反应多，其开发了基于</w:t>
            </w:r>
            <w:r>
              <w:rPr>
                <w:color w:val="000000"/>
                <w:sz w:val="24"/>
                <w:shd w:val="clear" w:color="auto" w:fill="FFFFFF"/>
              </w:rPr>
              <w:t>PNIPAM-PEG-PNIPAM</w:t>
            </w:r>
            <w:r>
              <w:rPr>
                <w:color w:val="000000"/>
                <w:sz w:val="24"/>
                <w:shd w:val="clear" w:color="auto" w:fill="FFFFFF"/>
              </w:rPr>
              <w:t>三嵌段共聚物的热响应聚合物胶束，用于将</w:t>
            </w:r>
            <w:proofErr w:type="spellStart"/>
            <w:r>
              <w:rPr>
                <w:color w:val="000000"/>
                <w:sz w:val="24"/>
                <w:shd w:val="clear" w:color="auto" w:fill="FFFFFF"/>
              </w:rPr>
              <w:t>ZnPP</w:t>
            </w:r>
            <w:proofErr w:type="spellEnd"/>
            <w:r>
              <w:rPr>
                <w:color w:val="000000"/>
                <w:sz w:val="24"/>
                <w:shd w:val="clear" w:color="auto" w:fill="FFFFFF"/>
              </w:rPr>
              <w:t>递送到前列腺癌细胞（</w:t>
            </w:r>
            <w:r>
              <w:rPr>
                <w:color w:val="000000"/>
                <w:sz w:val="24"/>
                <w:shd w:val="clear" w:color="auto" w:fill="FFFFFF"/>
              </w:rPr>
              <w:t>PC</w:t>
            </w:r>
            <w:r>
              <w:rPr>
                <w:rFonts w:hint="eastAsia"/>
                <w:color w:val="000000"/>
                <w:sz w:val="24"/>
                <w:shd w:val="clear" w:color="auto" w:fill="FFFFFF"/>
              </w:rPr>
              <w:t>3</w:t>
            </w:r>
            <w:r>
              <w:rPr>
                <w:rFonts w:hint="eastAsia"/>
                <w:color w:val="000000"/>
                <w:sz w:val="24"/>
                <w:shd w:val="clear" w:color="auto" w:fill="FFFFFF"/>
              </w:rPr>
              <w:t>）。热敏性</w:t>
            </w:r>
            <w:r>
              <w:rPr>
                <w:color w:val="000000"/>
                <w:sz w:val="24"/>
                <w:shd w:val="clear" w:color="auto" w:fill="FFFFFF"/>
              </w:rPr>
              <w:t>赋予纳米载体更多的结构稳定性和更少的药物泄漏。聚合物表征之后，平均临界胶束浓度（</w:t>
            </w:r>
            <w:r>
              <w:rPr>
                <w:color w:val="000000"/>
                <w:sz w:val="24"/>
                <w:shd w:val="clear" w:color="auto" w:fill="FFFFFF"/>
              </w:rPr>
              <w:t>CMC</w:t>
            </w:r>
            <w:r>
              <w:rPr>
                <w:color w:val="000000"/>
                <w:sz w:val="24"/>
                <w:shd w:val="clear" w:color="auto" w:fill="FFFFFF"/>
              </w:rPr>
              <w:t>）和最低临界溶液温度（</w:t>
            </w:r>
            <w:r>
              <w:rPr>
                <w:color w:val="000000"/>
                <w:sz w:val="24"/>
                <w:shd w:val="clear" w:color="auto" w:fill="FFFFFF"/>
              </w:rPr>
              <w:t>LCST</w:t>
            </w:r>
            <w:r>
              <w:rPr>
                <w:color w:val="000000"/>
                <w:sz w:val="24"/>
                <w:shd w:val="clear" w:color="auto" w:fill="FFFFFF"/>
              </w:rPr>
              <w:t>）分别为</w:t>
            </w:r>
            <w:r>
              <w:rPr>
                <w:color w:val="000000"/>
                <w:sz w:val="24"/>
                <w:shd w:val="clear" w:color="auto" w:fill="FFFFFF"/>
              </w:rPr>
              <w:t xml:space="preserve">22.32 </w:t>
            </w:r>
            <w:proofErr w:type="spellStart"/>
            <w:r>
              <w:rPr>
                <w:color w:val="000000"/>
                <w:sz w:val="24"/>
                <w:shd w:val="clear" w:color="auto" w:fill="FFFFFF"/>
              </w:rPr>
              <w:t>μg</w:t>
            </w:r>
            <w:proofErr w:type="spellEnd"/>
            <w:r>
              <w:rPr>
                <w:rFonts w:hint="eastAsia"/>
                <w:color w:val="000000"/>
                <w:sz w:val="24"/>
                <w:shd w:val="clear" w:color="auto" w:fill="FFFFFF"/>
              </w:rPr>
              <w:t>/</w:t>
            </w:r>
            <w:r>
              <w:rPr>
                <w:color w:val="000000"/>
                <w:sz w:val="24"/>
                <w:shd w:val="clear" w:color="auto" w:fill="FFFFFF"/>
              </w:rPr>
              <w:t>mL</w:t>
            </w:r>
            <w:r>
              <w:rPr>
                <w:color w:val="000000"/>
                <w:sz w:val="24"/>
                <w:shd w:val="clear" w:color="auto" w:fill="FFFFFF"/>
              </w:rPr>
              <w:t>和</w:t>
            </w:r>
            <w:r>
              <w:rPr>
                <w:color w:val="000000"/>
                <w:sz w:val="24"/>
                <w:shd w:val="clear" w:color="auto" w:fill="FFFFFF"/>
              </w:rPr>
              <w:t>36.20 °C</w:t>
            </w:r>
            <w:r>
              <w:rPr>
                <w:color w:val="000000"/>
                <w:sz w:val="24"/>
                <w:shd w:val="clear" w:color="auto" w:fill="FFFFFF"/>
              </w:rPr>
              <w:t>。制备的载药胶束在</w:t>
            </w:r>
            <w:r>
              <w:rPr>
                <w:color w:val="000000"/>
                <w:sz w:val="24"/>
                <w:shd w:val="clear" w:color="auto" w:fill="FFFFFF"/>
              </w:rPr>
              <w:t>37 °C</w:t>
            </w:r>
            <w:r>
              <w:rPr>
                <w:color w:val="000000"/>
                <w:sz w:val="24"/>
                <w:shd w:val="clear" w:color="auto" w:fill="FFFFFF"/>
              </w:rPr>
              <w:t>下的平均直径为</w:t>
            </w:r>
            <w:r>
              <w:rPr>
                <w:color w:val="000000"/>
                <w:sz w:val="24"/>
                <w:shd w:val="clear" w:color="auto" w:fill="FFFFFF"/>
              </w:rPr>
              <w:t>148 nm</w:t>
            </w:r>
            <w:r>
              <w:rPr>
                <w:color w:val="000000"/>
                <w:sz w:val="24"/>
                <w:shd w:val="clear" w:color="auto" w:fill="FFFFFF"/>
              </w:rPr>
              <w:t>，包埋效率为</w:t>
            </w:r>
            <w:r>
              <w:rPr>
                <w:color w:val="000000"/>
                <w:sz w:val="24"/>
                <w:shd w:val="clear" w:color="auto" w:fill="FFFFFF"/>
              </w:rPr>
              <w:t>98%</w:t>
            </w:r>
            <w:r>
              <w:rPr>
                <w:color w:val="000000"/>
                <w:sz w:val="24"/>
                <w:shd w:val="clear" w:color="auto" w:fill="FFFFFF"/>
              </w:rPr>
              <w:t>，载药量为</w:t>
            </w:r>
            <w:r>
              <w:rPr>
                <w:color w:val="000000"/>
                <w:sz w:val="24"/>
                <w:shd w:val="clear" w:color="auto" w:fill="FFFFFF"/>
              </w:rPr>
              <w:t>35%</w:t>
            </w:r>
            <w:r>
              <w:rPr>
                <w:color w:val="000000"/>
                <w:sz w:val="24"/>
                <w:shd w:val="clear" w:color="auto" w:fill="FFFFFF"/>
              </w:rPr>
              <w:t>。根据体外结果，纳米胶束的</w:t>
            </w:r>
            <w:proofErr w:type="spellStart"/>
            <w:r>
              <w:rPr>
                <w:color w:val="000000"/>
                <w:sz w:val="24"/>
                <w:shd w:val="clear" w:color="auto" w:fill="FFFFFF"/>
              </w:rPr>
              <w:t>ZnPP</w:t>
            </w:r>
            <w:proofErr w:type="spellEnd"/>
            <w:r>
              <w:rPr>
                <w:color w:val="000000"/>
                <w:sz w:val="24"/>
                <w:shd w:val="clear" w:color="auto" w:fill="FFFFFF"/>
              </w:rPr>
              <w:t>释放速率遵循温度依赖性方式。通过对负载</w:t>
            </w:r>
            <w:proofErr w:type="spellStart"/>
            <w:r>
              <w:rPr>
                <w:color w:val="000000"/>
                <w:sz w:val="24"/>
                <w:shd w:val="clear" w:color="auto" w:fill="FFFFFF"/>
              </w:rPr>
              <w:t>ZnPP</w:t>
            </w:r>
            <w:proofErr w:type="spellEnd"/>
            <w:r>
              <w:rPr>
                <w:color w:val="000000"/>
                <w:sz w:val="24"/>
                <w:shd w:val="clear" w:color="auto" w:fill="FFFFFF"/>
              </w:rPr>
              <w:t>的胶束处理的</w:t>
            </w:r>
            <w:r>
              <w:rPr>
                <w:color w:val="000000"/>
                <w:sz w:val="24"/>
                <w:shd w:val="clear" w:color="auto" w:fill="FFFFFF"/>
              </w:rPr>
              <w:t>PC3</w:t>
            </w:r>
            <w:r>
              <w:rPr>
                <w:color w:val="000000"/>
                <w:sz w:val="24"/>
                <w:shd w:val="clear" w:color="auto" w:fill="FFFFFF"/>
              </w:rPr>
              <w:t>细胞进行</w:t>
            </w:r>
            <w:r>
              <w:rPr>
                <w:color w:val="000000"/>
                <w:sz w:val="24"/>
                <w:shd w:val="clear" w:color="auto" w:fill="FFFFFF"/>
              </w:rPr>
              <w:t xml:space="preserve"> MTT </w:t>
            </w:r>
            <w:r>
              <w:rPr>
                <w:color w:val="000000"/>
                <w:sz w:val="24"/>
                <w:shd w:val="clear" w:color="auto" w:fill="FFFFFF"/>
              </w:rPr>
              <w:t>测定获得的</w:t>
            </w:r>
            <w:r>
              <w:rPr>
                <w:color w:val="000000"/>
                <w:sz w:val="24"/>
                <w:shd w:val="clear" w:color="auto" w:fill="FFFFFF"/>
              </w:rPr>
              <w:t>IC50</w:t>
            </w:r>
            <w:r>
              <w:rPr>
                <w:color w:val="000000"/>
                <w:sz w:val="24"/>
                <w:shd w:val="clear" w:color="auto" w:fill="FFFFFF"/>
              </w:rPr>
              <w:t>比游离药物低</w:t>
            </w:r>
            <w:r>
              <w:rPr>
                <w:color w:val="000000"/>
                <w:sz w:val="24"/>
                <w:shd w:val="clear" w:color="auto" w:fill="FFFFFF"/>
              </w:rPr>
              <w:t>36%</w:t>
            </w:r>
            <w:r>
              <w:rPr>
                <w:color w:val="000000"/>
                <w:sz w:val="24"/>
                <w:shd w:val="clear" w:color="auto" w:fill="FFFFFF"/>
              </w:rPr>
              <w:t>（</w:t>
            </w:r>
            <w:r>
              <w:rPr>
                <w:color w:val="000000"/>
                <w:sz w:val="24"/>
                <w:shd w:val="clear" w:color="auto" w:fill="FFFFFF"/>
              </w:rPr>
              <w:t>P&lt;0.01</w:t>
            </w:r>
            <w:r>
              <w:rPr>
                <w:color w:val="000000"/>
                <w:sz w:val="24"/>
                <w:shd w:val="clear" w:color="auto" w:fill="FFFFFF"/>
              </w:rPr>
              <w:t>），这表明其制备制剂的毒性有所改善。与游离药物相比，在相同的</w:t>
            </w:r>
            <w:proofErr w:type="spellStart"/>
            <w:r>
              <w:rPr>
                <w:color w:val="000000"/>
                <w:sz w:val="24"/>
                <w:shd w:val="clear" w:color="auto" w:fill="FFFFFF"/>
              </w:rPr>
              <w:t>ZnPP</w:t>
            </w:r>
            <w:proofErr w:type="spellEnd"/>
            <w:r>
              <w:rPr>
                <w:color w:val="000000"/>
                <w:sz w:val="24"/>
                <w:shd w:val="clear" w:color="auto" w:fill="FFFFFF"/>
              </w:rPr>
              <w:t>浓度下，载药胶束表现出显着更强的诱导</w:t>
            </w:r>
            <w:r>
              <w:rPr>
                <w:color w:val="000000"/>
                <w:sz w:val="24"/>
                <w:shd w:val="clear" w:color="auto" w:fill="FFFFFF"/>
              </w:rPr>
              <w:t>PC3</w:t>
            </w:r>
            <w:r>
              <w:rPr>
                <w:color w:val="000000"/>
                <w:sz w:val="24"/>
                <w:shd w:val="clear" w:color="auto" w:fill="FFFFFF"/>
              </w:rPr>
              <w:t>细胞凋亡的能力。此外，流式细胞术和共聚焦显微镜评估证实了其制备的纳米颗粒的细胞摄取。</w:t>
            </w:r>
            <w:r>
              <w:rPr>
                <w:color w:val="000000"/>
                <w:sz w:val="24"/>
                <w:shd w:val="clear" w:color="auto" w:fill="FFFFFF"/>
                <w:vertAlign w:val="superscript"/>
              </w:rPr>
              <w:t>[4]</w:t>
            </w:r>
          </w:p>
          <w:p w14:paraId="39DCF2C2" w14:textId="77777777" w:rsidR="009907C0" w:rsidRDefault="00000000">
            <w:pPr>
              <w:spacing w:beforeLines="50" w:before="156" w:line="300" w:lineRule="auto"/>
              <w:ind w:firstLineChars="200" w:firstLine="480"/>
              <w:rPr>
                <w:sz w:val="24"/>
              </w:rPr>
            </w:pPr>
            <w:r>
              <w:rPr>
                <w:sz w:val="24"/>
              </w:rPr>
              <w:t>（</w:t>
            </w:r>
            <w:r>
              <w:rPr>
                <w:sz w:val="24"/>
              </w:rPr>
              <w:t>3</w:t>
            </w:r>
            <w:r>
              <w:rPr>
                <w:sz w:val="24"/>
              </w:rPr>
              <w:t>）响应型纳米载药胶束的制备和性质研究：研究者基于过氧化氢等刺激响应性</w:t>
            </w:r>
            <w:r>
              <w:rPr>
                <w:rFonts w:hint="eastAsia"/>
                <w:sz w:val="24"/>
              </w:rPr>
              <w:t>的</w:t>
            </w:r>
            <w:proofErr w:type="gramStart"/>
            <w:r>
              <w:rPr>
                <w:sz w:val="24"/>
              </w:rPr>
              <w:t>两亲性</w:t>
            </w:r>
            <w:proofErr w:type="gramEnd"/>
            <w:r>
              <w:rPr>
                <w:sz w:val="24"/>
              </w:rPr>
              <w:t>聚合物，</w:t>
            </w:r>
            <w:r>
              <w:rPr>
                <w:rFonts w:hint="eastAsia"/>
                <w:sz w:val="24"/>
              </w:rPr>
              <w:t>能够</w:t>
            </w:r>
            <w:r>
              <w:rPr>
                <w:sz w:val="24"/>
              </w:rPr>
              <w:t>自组装成球形胶束并包载疏水性药物，具备载药量高、响应灵敏度高、选择性好的优势。如张川团队在研究中设计合成了具有响应性和降解性的光化学治疗肿瘤的纳米载药体系。通过开环聚合、高温缩聚以及化学修饰等方法，制备了一种可降解的谷胱甘肽敏感性混合载药胶束</w:t>
            </w:r>
            <w:r>
              <w:rPr>
                <w:sz w:val="24"/>
              </w:rPr>
              <w:t>DCBM</w:t>
            </w:r>
            <w:r>
              <w:rPr>
                <w:sz w:val="24"/>
              </w:rPr>
              <w:t>。</w:t>
            </w:r>
            <w:r>
              <w:rPr>
                <w:color w:val="000000"/>
                <w:sz w:val="24"/>
              </w:rPr>
              <w:t>其次，为了进一步提升光化疗的效果，引入一氧化氮（</w:t>
            </w:r>
            <w:r>
              <w:rPr>
                <w:color w:val="000000"/>
                <w:sz w:val="24"/>
              </w:rPr>
              <w:t>NO</w:t>
            </w:r>
            <w:r>
              <w:rPr>
                <w:color w:val="000000"/>
                <w:sz w:val="24"/>
              </w:rPr>
              <w:t>）以增强协同热化疗的效果，解决化疗中的耐药问题</w:t>
            </w:r>
            <w:r>
              <w:rPr>
                <w:color w:val="000000"/>
              </w:rPr>
              <w:t>。</w:t>
            </w:r>
            <w:r>
              <w:rPr>
                <w:color w:val="000000"/>
                <w:sz w:val="24"/>
              </w:rPr>
              <w:t>再次，结合亚细胞层面的光动力治疗和细胞层面的化疗提升光化疗的效果。通过简单化学键连的方式，合成了一种过氧化氢敏感性、具有线粒体靶向能力的混合胶束，赋予其化疗和光动力治疗的能力。最后，尝试将阳离子纳米微球作为药物载体应用到癌症的光化疗之中，拓展阳离子型聚合物微球的应用范围。以三甲基乙烯苄基氯化铵和丙烯酸为</w:t>
            </w:r>
            <w:r>
              <w:rPr>
                <w:color w:val="000000"/>
                <w:sz w:val="24"/>
              </w:rPr>
              <w:t xml:space="preserve"> </w:t>
            </w:r>
            <w:r>
              <w:rPr>
                <w:color w:val="000000"/>
                <w:sz w:val="24"/>
              </w:rPr>
              <w:t>单体，通过乳液聚合的方法合成了一种</w:t>
            </w:r>
            <w:r>
              <w:rPr>
                <w:color w:val="000000"/>
                <w:sz w:val="24"/>
              </w:rPr>
              <w:t>pH</w:t>
            </w:r>
            <w:r>
              <w:rPr>
                <w:color w:val="000000"/>
                <w:sz w:val="24"/>
              </w:rPr>
              <w:t>响应性阳离子纳米微球</w:t>
            </w:r>
            <w:r>
              <w:rPr>
                <w:color w:val="000000"/>
                <w:sz w:val="24"/>
              </w:rPr>
              <w:t xml:space="preserve"> VANPs</w:t>
            </w:r>
            <w:r>
              <w:rPr>
                <w:color w:val="000000"/>
                <w:sz w:val="24"/>
              </w:rPr>
              <w:t>，并通过</w:t>
            </w:r>
            <w:r>
              <w:rPr>
                <w:color w:val="000000"/>
                <w:sz w:val="24"/>
              </w:rPr>
              <w:t>VANPs</w:t>
            </w:r>
            <w:r>
              <w:rPr>
                <w:color w:val="000000"/>
                <w:sz w:val="24"/>
              </w:rPr>
              <w:t>与药物小分子之间的库仑力作用，设计制备了一种</w:t>
            </w:r>
            <w:r>
              <w:rPr>
                <w:color w:val="000000"/>
                <w:sz w:val="24"/>
              </w:rPr>
              <w:t>pH</w:t>
            </w:r>
            <w:r>
              <w:rPr>
                <w:color w:val="000000"/>
                <w:sz w:val="24"/>
              </w:rPr>
              <w:t>响应性、阳离子型的纳米药物载体</w:t>
            </w:r>
            <w:r>
              <w:rPr>
                <w:color w:val="000000"/>
                <w:sz w:val="24"/>
              </w:rPr>
              <w:t>ID@VANPs</w:t>
            </w:r>
            <w:r>
              <w:rPr>
                <w:color w:val="000000"/>
                <w:sz w:val="24"/>
              </w:rPr>
              <w:t>。</w:t>
            </w:r>
            <w:r>
              <w:rPr>
                <w:color w:val="000000"/>
                <w:sz w:val="24"/>
                <w:vertAlign w:val="superscript"/>
              </w:rPr>
              <w:t>[5]</w:t>
            </w:r>
          </w:p>
          <w:p w14:paraId="62F7292F" w14:textId="77777777" w:rsidR="009907C0" w:rsidRDefault="00000000">
            <w:pPr>
              <w:spacing w:beforeLines="50" w:before="156" w:line="300" w:lineRule="auto"/>
              <w:ind w:firstLineChars="200" w:firstLine="480"/>
              <w:rPr>
                <w:color w:val="000000"/>
                <w:sz w:val="24"/>
                <w:vertAlign w:val="superscript"/>
              </w:rPr>
            </w:pPr>
            <w:r>
              <w:rPr>
                <w:rFonts w:hint="eastAsia"/>
                <w:sz w:val="24"/>
              </w:rPr>
              <w:t>（</w:t>
            </w:r>
            <w:r>
              <w:rPr>
                <w:rFonts w:hint="eastAsia"/>
                <w:sz w:val="24"/>
              </w:rPr>
              <w:t>4</w:t>
            </w:r>
            <w:r>
              <w:rPr>
                <w:rFonts w:hint="eastAsia"/>
                <w:sz w:val="24"/>
              </w:rPr>
              <w:t>）新型的氧化还原双重响应型前药纳米载药胶束：通过将疏水性药物紫杉醇（</w:t>
            </w:r>
            <w:r>
              <w:rPr>
                <w:rFonts w:hint="eastAsia"/>
                <w:sz w:val="24"/>
              </w:rPr>
              <w:t>PTX</w:t>
            </w:r>
            <w:r>
              <w:rPr>
                <w:rFonts w:hint="eastAsia"/>
                <w:sz w:val="24"/>
              </w:rPr>
              <w:t>）</w:t>
            </w:r>
            <w:r>
              <w:rPr>
                <w:rFonts w:hint="eastAsia"/>
                <w:sz w:val="24"/>
              </w:rPr>
              <w:lastRenderedPageBreak/>
              <w:t>与油酸（</w:t>
            </w:r>
            <w:r>
              <w:rPr>
                <w:rFonts w:hint="eastAsia"/>
                <w:sz w:val="24"/>
              </w:rPr>
              <w:t>OA</w:t>
            </w:r>
            <w:r>
              <w:rPr>
                <w:rFonts w:hint="eastAsia"/>
                <w:sz w:val="24"/>
              </w:rPr>
              <w:t>）结合，这些前药结合物在水溶液中自组装成胶束结构，用于提高癌症化疗药物紫杉醇（</w:t>
            </w:r>
            <w:r>
              <w:rPr>
                <w:rFonts w:hint="eastAsia"/>
                <w:sz w:val="24"/>
              </w:rPr>
              <w:t>PTX</w:t>
            </w:r>
            <w:r>
              <w:rPr>
                <w:rFonts w:hint="eastAsia"/>
                <w:sz w:val="24"/>
              </w:rPr>
              <w:t>）的疗效。研究者设计了两种不同的</w:t>
            </w:r>
            <w:r>
              <w:rPr>
                <w:rFonts w:hint="eastAsia"/>
                <w:sz w:val="24"/>
              </w:rPr>
              <w:t>PTX-</w:t>
            </w:r>
            <w:r>
              <w:rPr>
                <w:rFonts w:hint="eastAsia"/>
                <w:sz w:val="24"/>
              </w:rPr>
              <w:t>油酸结合物，一种包含硫醚键（</w:t>
            </w:r>
            <w:r>
              <w:rPr>
                <w:rFonts w:hint="eastAsia"/>
                <w:sz w:val="24"/>
              </w:rPr>
              <w:t>PTX-S-OA</w:t>
            </w:r>
            <w:r>
              <w:rPr>
                <w:rFonts w:hint="eastAsia"/>
                <w:sz w:val="24"/>
              </w:rPr>
              <w:t>），另一种插入了二硫醚（</w:t>
            </w:r>
            <w:r>
              <w:rPr>
                <w:rFonts w:hint="eastAsia"/>
                <w:sz w:val="24"/>
              </w:rPr>
              <w:t>PTX-2S-OA</w:t>
            </w:r>
            <w:r>
              <w:rPr>
                <w:rFonts w:hint="eastAsia"/>
                <w:sz w:val="24"/>
              </w:rPr>
              <w:t>），以利用肿瘤内部的氧化还原特性进行药物释放。结果表明，</w:t>
            </w:r>
            <w:r>
              <w:rPr>
                <w:rFonts w:hint="eastAsia"/>
                <w:sz w:val="24"/>
              </w:rPr>
              <w:t>PTX-S-OA</w:t>
            </w:r>
            <w:r>
              <w:rPr>
                <w:rFonts w:hint="eastAsia"/>
                <w:sz w:val="24"/>
              </w:rPr>
              <w:t>比</w:t>
            </w:r>
            <w:r>
              <w:rPr>
                <w:rFonts w:hint="eastAsia"/>
                <w:sz w:val="24"/>
              </w:rPr>
              <w:t>PTX-2S-OA</w:t>
            </w:r>
            <w:r>
              <w:rPr>
                <w:rFonts w:hint="eastAsia"/>
                <w:sz w:val="24"/>
              </w:rPr>
              <w:t>对氧化还原刺激更敏感，能够更快速且选择性地释放出</w:t>
            </w:r>
            <w:r>
              <w:rPr>
                <w:rFonts w:hint="eastAsia"/>
                <w:sz w:val="24"/>
              </w:rPr>
              <w:t>PTX</w:t>
            </w:r>
            <w:r>
              <w:rPr>
                <w:rFonts w:hint="eastAsia"/>
                <w:sz w:val="24"/>
              </w:rPr>
              <w:t>。</w:t>
            </w:r>
            <w:r>
              <w:rPr>
                <w:rFonts w:hint="eastAsia"/>
                <w:sz w:val="24"/>
              </w:rPr>
              <w:t>PEG</w:t>
            </w:r>
            <w:r>
              <w:rPr>
                <w:rFonts w:hint="eastAsia"/>
                <w:sz w:val="24"/>
              </w:rPr>
              <w:t>修饰的</w:t>
            </w:r>
            <w:r>
              <w:rPr>
                <w:rFonts w:hint="eastAsia"/>
                <w:sz w:val="24"/>
              </w:rPr>
              <w:t>PTX-S-OA</w:t>
            </w:r>
            <w:r>
              <w:rPr>
                <w:rFonts w:hint="eastAsia"/>
                <w:sz w:val="24"/>
              </w:rPr>
              <w:t>纳米组装体具有高达</w:t>
            </w:r>
            <w:r>
              <w:rPr>
                <w:rFonts w:hint="eastAsia"/>
                <w:sz w:val="24"/>
              </w:rPr>
              <w:t>57.4%</w:t>
            </w:r>
            <w:r>
              <w:rPr>
                <w:rFonts w:hint="eastAsia"/>
                <w:sz w:val="24"/>
              </w:rPr>
              <w:t>的药物载量，在体内实验中显示出显著的抗肿瘤活性。由于其氧化还原双重响应特性，这些纳米胶束能够在肿瘤微环境的特定刺激下快速释放药物，从而提高了药物的靶向性和治疗效果。</w:t>
            </w:r>
            <w:r>
              <w:rPr>
                <w:sz w:val="24"/>
                <w:vertAlign w:val="superscript"/>
              </w:rPr>
              <w:t>[6]</w:t>
            </w:r>
          </w:p>
          <w:p w14:paraId="62F72930" w14:textId="77777777" w:rsidR="009907C0" w:rsidRDefault="00000000">
            <w:pPr>
              <w:spacing w:beforeLines="100" w:before="312" w:line="300" w:lineRule="auto"/>
              <w:rPr>
                <w:sz w:val="24"/>
              </w:rPr>
            </w:pPr>
            <w:r>
              <w:rPr>
                <w:rFonts w:hint="eastAsia"/>
                <w:sz w:val="24"/>
              </w:rPr>
              <w:t xml:space="preserve">2.2.2 </w:t>
            </w:r>
            <w:r>
              <w:rPr>
                <w:sz w:val="24"/>
              </w:rPr>
              <w:t>载体</w:t>
            </w:r>
            <w:r>
              <w:rPr>
                <w:rFonts w:hint="eastAsia"/>
                <w:sz w:val="24"/>
              </w:rPr>
              <w:t>平台</w:t>
            </w:r>
          </w:p>
          <w:p w14:paraId="62F72931" w14:textId="77777777" w:rsidR="009907C0" w:rsidRDefault="00000000">
            <w:pPr>
              <w:spacing w:line="300" w:lineRule="auto"/>
              <w:ind w:firstLineChars="200" w:firstLine="480"/>
              <w:rPr>
                <w:sz w:val="24"/>
                <w:vertAlign w:val="superscript"/>
              </w:rPr>
            </w:pPr>
            <w:r>
              <w:rPr>
                <w:rFonts w:hint="eastAsia"/>
                <w:sz w:val="24"/>
              </w:rPr>
              <w:t>（</w:t>
            </w:r>
            <w:r>
              <w:rPr>
                <w:rFonts w:hint="eastAsia"/>
                <w:sz w:val="24"/>
              </w:rPr>
              <w:t>1</w:t>
            </w:r>
            <w:r>
              <w:rPr>
                <w:rFonts w:hint="eastAsia"/>
                <w:sz w:val="24"/>
              </w:rPr>
              <w:t>）靶向聚合物纳米载体在黑色素瘤治疗中的应用：在本研究中，研究人员开发了一种具有靶向性和免疫激活能力的聚合物纳米载体平台，用于黑色素瘤的免疫治疗。这种纳米载体通过特定的靶向配体</w:t>
            </w:r>
            <w:proofErr w:type="spellStart"/>
            <w:r>
              <w:rPr>
                <w:rFonts w:hint="eastAsia"/>
                <w:sz w:val="24"/>
              </w:rPr>
              <w:t>cRGD</w:t>
            </w:r>
            <w:proofErr w:type="spellEnd"/>
            <w:r>
              <w:rPr>
                <w:rFonts w:hint="eastAsia"/>
                <w:sz w:val="24"/>
              </w:rPr>
              <w:t>和</w:t>
            </w:r>
            <w:r>
              <w:rPr>
                <w:rFonts w:hint="eastAsia"/>
                <w:sz w:val="24"/>
              </w:rPr>
              <w:t>mannose</w:t>
            </w:r>
            <w:r>
              <w:rPr>
                <w:rFonts w:hint="eastAsia"/>
                <w:sz w:val="24"/>
              </w:rPr>
              <w:t>修饰，能够精确识别并结合到肿瘤细胞上，提高肿瘤特异性摄取。它能够直接诱导黑色素瘤细胞发生免疫原性细胞死亡（</w:t>
            </w:r>
            <w:r>
              <w:rPr>
                <w:rFonts w:hint="eastAsia"/>
                <w:sz w:val="24"/>
              </w:rPr>
              <w:t>ICD</w:t>
            </w:r>
            <w:r>
              <w:rPr>
                <w:rFonts w:hint="eastAsia"/>
                <w:sz w:val="24"/>
              </w:rPr>
              <w:t>），释放损伤相关分子模式（</w:t>
            </w:r>
            <w:r>
              <w:rPr>
                <w:rFonts w:hint="eastAsia"/>
                <w:sz w:val="24"/>
              </w:rPr>
              <w:t>DAMPs</w:t>
            </w:r>
            <w:r>
              <w:rPr>
                <w:rFonts w:hint="eastAsia"/>
                <w:sz w:val="24"/>
              </w:rPr>
              <w:t>），从而增强垂死癌细胞的抗原性，促进树突状细胞的募集和成熟，改善抗原呈递。纳米载体展现出稳定的物理化学特性，包括均匀的粒径、稳定的</w:t>
            </w:r>
            <w:r>
              <w:rPr>
                <w:rFonts w:hint="eastAsia"/>
                <w:sz w:val="24"/>
              </w:rPr>
              <w:t>zeta</w:t>
            </w:r>
            <w:r>
              <w:rPr>
                <w:rFonts w:hint="eastAsia"/>
                <w:sz w:val="24"/>
              </w:rPr>
              <w:t>电位和类球形的外貌，这些特性有助于其在体内的稳定性和生物分布。此外，纳米载体通过网格蛋白</w:t>
            </w:r>
            <w:proofErr w:type="gramStart"/>
            <w:r>
              <w:rPr>
                <w:rFonts w:hint="eastAsia"/>
                <w:sz w:val="24"/>
              </w:rPr>
              <w:t>介</w:t>
            </w:r>
            <w:proofErr w:type="gramEnd"/>
            <w:r>
              <w:rPr>
                <w:rFonts w:hint="eastAsia"/>
                <w:sz w:val="24"/>
              </w:rPr>
              <w:t>导的内吞作用进入肿瘤细胞，唾液酸</w:t>
            </w:r>
            <w:proofErr w:type="gramStart"/>
            <w:r>
              <w:rPr>
                <w:rFonts w:hint="eastAsia"/>
                <w:sz w:val="24"/>
              </w:rPr>
              <w:t>介</w:t>
            </w:r>
            <w:proofErr w:type="gramEnd"/>
            <w:r>
              <w:rPr>
                <w:rFonts w:hint="eastAsia"/>
                <w:sz w:val="24"/>
              </w:rPr>
              <w:t>导的受体靶向作用显著增加了肿瘤细胞对纳米载体的摄取。实时定量</w:t>
            </w:r>
            <w:r>
              <w:rPr>
                <w:rFonts w:hint="eastAsia"/>
                <w:sz w:val="24"/>
              </w:rPr>
              <w:t>PCR</w:t>
            </w:r>
            <w:r>
              <w:rPr>
                <w:rFonts w:hint="eastAsia"/>
                <w:sz w:val="24"/>
              </w:rPr>
              <w:t>和</w:t>
            </w:r>
            <w:r>
              <w:rPr>
                <w:rFonts w:hint="eastAsia"/>
                <w:sz w:val="24"/>
              </w:rPr>
              <w:t>Western Blot</w:t>
            </w:r>
            <w:r>
              <w:rPr>
                <w:rFonts w:hint="eastAsia"/>
                <w:sz w:val="24"/>
              </w:rPr>
              <w:t>法检测结果证实了纳米载体</w:t>
            </w:r>
            <w:r>
              <w:rPr>
                <w:rFonts w:hint="eastAsia"/>
                <w:sz w:val="24"/>
              </w:rPr>
              <w:t>/siMUC1</w:t>
            </w:r>
            <w:r>
              <w:rPr>
                <w:rFonts w:hint="eastAsia"/>
                <w:sz w:val="24"/>
              </w:rPr>
              <w:t>具有较好的基因沉默效率和调控蛋白表达水平的能力，有效下调胆固醇合成，减少耐药相关膜泵蛋白的表达，改善肿瘤周围的炎性微环境。在体内外实验中，纳米载体</w:t>
            </w:r>
            <w:r>
              <w:rPr>
                <w:rFonts w:hint="eastAsia"/>
                <w:sz w:val="24"/>
              </w:rPr>
              <w:t>/siMUC1</w:t>
            </w:r>
            <w:r>
              <w:rPr>
                <w:rFonts w:hint="eastAsia"/>
                <w:sz w:val="24"/>
              </w:rPr>
              <w:t>展现出显著的抑瘤和抑制肿瘤转移的能力，为黑色素瘤的综合治疗提供了新的策略和理论依据。</w:t>
            </w:r>
            <w:r>
              <w:rPr>
                <w:rFonts w:hint="eastAsia"/>
                <w:sz w:val="24"/>
                <w:vertAlign w:val="superscript"/>
              </w:rPr>
              <w:t>[7]</w:t>
            </w:r>
          </w:p>
          <w:p w14:paraId="59B8BFBC" w14:textId="77777777" w:rsidR="009907C0" w:rsidRDefault="00000000">
            <w:pPr>
              <w:spacing w:beforeLines="50" w:before="156" w:line="300" w:lineRule="auto"/>
              <w:ind w:firstLineChars="200" w:firstLine="480"/>
              <w:rPr>
                <w:sz w:val="24"/>
              </w:rPr>
            </w:pPr>
            <w:r>
              <w:rPr>
                <w:sz w:val="24"/>
              </w:rPr>
              <w:t>（</w:t>
            </w:r>
            <w:r>
              <w:rPr>
                <w:sz w:val="24"/>
              </w:rPr>
              <w:t>2</w:t>
            </w:r>
            <w:r>
              <w:rPr>
                <w:sz w:val="24"/>
              </w:rPr>
              <w:t>）</w:t>
            </w:r>
            <w:r>
              <w:rPr>
                <w:sz w:val="24"/>
              </w:rPr>
              <w:t>pH</w:t>
            </w:r>
            <w:r>
              <w:rPr>
                <w:sz w:val="24"/>
              </w:rPr>
              <w:t>响应</w:t>
            </w:r>
            <w:r>
              <w:rPr>
                <w:sz w:val="24"/>
              </w:rPr>
              <w:t>SPPI</w:t>
            </w:r>
            <w:r>
              <w:rPr>
                <w:sz w:val="24"/>
              </w:rPr>
              <w:t>基因载体：研究团队着眼于肾癌治疗中普遍存在的</w:t>
            </w:r>
            <w:proofErr w:type="gramStart"/>
            <w:r>
              <w:rPr>
                <w:sz w:val="24"/>
              </w:rPr>
              <w:t>舒尼替尼耐药性</w:t>
            </w:r>
            <w:proofErr w:type="gramEnd"/>
            <w:r>
              <w:rPr>
                <w:sz w:val="24"/>
              </w:rPr>
              <w:t>问题，开发了一种新型的靶向</w:t>
            </w:r>
            <w:r>
              <w:rPr>
                <w:sz w:val="24"/>
              </w:rPr>
              <w:t>E-selectin</w:t>
            </w:r>
            <w:r>
              <w:rPr>
                <w:sz w:val="24"/>
              </w:rPr>
              <w:t>受体的自组装纳米基因载体</w:t>
            </w:r>
            <w:r>
              <w:rPr>
                <w:sz w:val="24"/>
              </w:rPr>
              <w:t>SPPI</w:t>
            </w:r>
            <w:r>
              <w:rPr>
                <w:sz w:val="24"/>
              </w:rPr>
              <w:t>。该载体</w:t>
            </w:r>
            <w:proofErr w:type="gramStart"/>
            <w:r>
              <w:rPr>
                <w:sz w:val="24"/>
              </w:rPr>
              <w:t>基于聚</w:t>
            </w:r>
            <w:proofErr w:type="gramEnd"/>
            <w:r>
              <w:rPr>
                <w:sz w:val="24"/>
              </w:rPr>
              <w:t>乙二醇亚胺（</w:t>
            </w:r>
            <w:r>
              <w:rPr>
                <w:sz w:val="24"/>
              </w:rPr>
              <w:t>PEI</w:t>
            </w:r>
            <w:r>
              <w:rPr>
                <w:sz w:val="24"/>
              </w:rPr>
              <w:t>）构建，并通过修饰聚乙二醇（</w:t>
            </w:r>
            <w:r>
              <w:rPr>
                <w:sz w:val="24"/>
              </w:rPr>
              <w:t>PEG</w:t>
            </w:r>
            <w:r>
              <w:rPr>
                <w:sz w:val="24"/>
              </w:rPr>
              <w:t>）和布</w:t>
            </w:r>
            <w:proofErr w:type="gramStart"/>
            <w:r>
              <w:rPr>
                <w:sz w:val="24"/>
              </w:rPr>
              <w:t>洛</w:t>
            </w:r>
            <w:proofErr w:type="gramEnd"/>
            <w:r>
              <w:rPr>
                <w:sz w:val="24"/>
              </w:rPr>
              <w:t>芬（</w:t>
            </w:r>
            <w:r>
              <w:rPr>
                <w:sz w:val="24"/>
              </w:rPr>
              <w:t>IBU</w:t>
            </w:r>
            <w:r>
              <w:rPr>
                <w:sz w:val="24"/>
              </w:rPr>
              <w:t>），在</w:t>
            </w:r>
            <w:r>
              <w:rPr>
                <w:sz w:val="24"/>
              </w:rPr>
              <w:t>PEG</w:t>
            </w:r>
            <w:r>
              <w:rPr>
                <w:sz w:val="24"/>
              </w:rPr>
              <w:t>一端键接唾液酸（</w:t>
            </w:r>
            <w:r>
              <w:rPr>
                <w:sz w:val="24"/>
              </w:rPr>
              <w:t>SA</w:t>
            </w:r>
            <w:r>
              <w:rPr>
                <w:sz w:val="24"/>
              </w:rPr>
              <w:t>），成功合成了</w:t>
            </w:r>
            <w:r>
              <w:rPr>
                <w:sz w:val="24"/>
              </w:rPr>
              <w:t>SA-PEG-PEI-IBU</w:t>
            </w:r>
            <w:r>
              <w:rPr>
                <w:sz w:val="24"/>
              </w:rPr>
              <w:t>（</w:t>
            </w:r>
            <w:r>
              <w:rPr>
                <w:sz w:val="24"/>
              </w:rPr>
              <w:t>SPPI</w:t>
            </w:r>
            <w:r>
              <w:rPr>
                <w:sz w:val="24"/>
              </w:rPr>
              <w:t>）。</w:t>
            </w:r>
            <w:r>
              <w:rPr>
                <w:sz w:val="24"/>
              </w:rPr>
              <w:t>SPPI</w:t>
            </w:r>
            <w:r>
              <w:rPr>
                <w:sz w:val="24"/>
              </w:rPr>
              <w:t>的设计旨在通过递送小干扰</w:t>
            </w:r>
            <w:r>
              <w:rPr>
                <w:sz w:val="24"/>
              </w:rPr>
              <w:t>RNA</w:t>
            </w:r>
            <w:r>
              <w:rPr>
                <w:sz w:val="24"/>
              </w:rPr>
              <w:t>（</w:t>
            </w:r>
            <w:r>
              <w:rPr>
                <w:sz w:val="24"/>
              </w:rPr>
              <w:t>siRNA</w:t>
            </w:r>
            <w:r>
              <w:rPr>
                <w:sz w:val="24"/>
              </w:rPr>
              <w:t>）来沉默</w:t>
            </w:r>
            <w:r>
              <w:rPr>
                <w:sz w:val="24"/>
              </w:rPr>
              <w:t>MUC1</w:t>
            </w:r>
            <w:r>
              <w:rPr>
                <w:sz w:val="24"/>
              </w:rPr>
              <w:t>的表达，从而调控肾癌细胞的脂质代谢，逆转对</w:t>
            </w:r>
            <w:proofErr w:type="gramStart"/>
            <w:r>
              <w:rPr>
                <w:sz w:val="24"/>
              </w:rPr>
              <w:t>舒尼替尼的</w:t>
            </w:r>
            <w:proofErr w:type="gramEnd"/>
            <w:r>
              <w:rPr>
                <w:sz w:val="24"/>
              </w:rPr>
              <w:t>耐药性。实验结果表明，</w:t>
            </w:r>
            <w:r>
              <w:rPr>
                <w:sz w:val="24"/>
              </w:rPr>
              <w:t>SPPI</w:t>
            </w:r>
            <w:r>
              <w:rPr>
                <w:sz w:val="24"/>
              </w:rPr>
              <w:t>胶束具有良好的基因装载能力，稳定的粒径和</w:t>
            </w:r>
            <w:r>
              <w:rPr>
                <w:sz w:val="24"/>
              </w:rPr>
              <w:t>zeta</w:t>
            </w:r>
            <w:r>
              <w:rPr>
                <w:sz w:val="24"/>
              </w:rPr>
              <w:t>电位，以及类球形的外貌，这些特性使得</w:t>
            </w:r>
            <w:r>
              <w:rPr>
                <w:sz w:val="24"/>
              </w:rPr>
              <w:t>SPPI</w:t>
            </w:r>
            <w:r>
              <w:rPr>
                <w:sz w:val="24"/>
              </w:rPr>
              <w:t>能够有效地进入细胞内部，显著下调胆固醇含量，并发挥预期的耐药调控作用。通过共聚焦显微镜和流式细胞仪的实验，研究团队发现</w:t>
            </w:r>
            <w:r>
              <w:rPr>
                <w:sz w:val="24"/>
              </w:rPr>
              <w:t>SPPI</w:t>
            </w:r>
            <w:r>
              <w:rPr>
                <w:sz w:val="24"/>
              </w:rPr>
              <w:t>载体主要通过网格蛋白的</w:t>
            </w:r>
            <w:proofErr w:type="gramStart"/>
            <w:r>
              <w:rPr>
                <w:sz w:val="24"/>
              </w:rPr>
              <w:t>介</w:t>
            </w:r>
            <w:proofErr w:type="gramEnd"/>
            <w:r>
              <w:rPr>
                <w:sz w:val="24"/>
              </w:rPr>
              <w:t>导作用进入肿瘤细胞，且唾液酸</w:t>
            </w:r>
            <w:proofErr w:type="gramStart"/>
            <w:r>
              <w:rPr>
                <w:sz w:val="24"/>
              </w:rPr>
              <w:t>介</w:t>
            </w:r>
            <w:proofErr w:type="gramEnd"/>
            <w:r>
              <w:rPr>
                <w:sz w:val="24"/>
              </w:rPr>
              <w:t>导的受体靶向作用显著增加了肿瘤细胞对</w:t>
            </w:r>
            <w:r>
              <w:rPr>
                <w:sz w:val="24"/>
              </w:rPr>
              <w:t>SPPI</w:t>
            </w:r>
            <w:r>
              <w:rPr>
                <w:sz w:val="24"/>
              </w:rPr>
              <w:t>载体的摄取。此外，实时定量</w:t>
            </w:r>
            <w:r>
              <w:rPr>
                <w:sz w:val="24"/>
              </w:rPr>
              <w:t>PCR</w:t>
            </w:r>
            <w:r>
              <w:rPr>
                <w:sz w:val="24"/>
              </w:rPr>
              <w:t>和</w:t>
            </w:r>
            <w:r>
              <w:rPr>
                <w:sz w:val="24"/>
              </w:rPr>
              <w:t>Western Blot</w:t>
            </w:r>
            <w:r>
              <w:rPr>
                <w:sz w:val="24"/>
              </w:rPr>
              <w:t>法检测结果显示，</w:t>
            </w:r>
            <w:r>
              <w:rPr>
                <w:sz w:val="24"/>
              </w:rPr>
              <w:t>SPPI/siMUC1</w:t>
            </w:r>
            <w:r>
              <w:rPr>
                <w:sz w:val="24"/>
              </w:rPr>
              <w:t>展现出较好的基因沉默效率和调控蛋白表达水平的能力，细胞的脂质代谢物质胆固醇的合成也明显减少，由此导致的耐药相关的膜泵蛋白</w:t>
            </w:r>
            <w:r>
              <w:rPr>
                <w:sz w:val="24"/>
              </w:rPr>
              <w:t>P-GP</w:t>
            </w:r>
            <w:r>
              <w:rPr>
                <w:sz w:val="24"/>
              </w:rPr>
              <w:t>，</w:t>
            </w:r>
            <w:r>
              <w:rPr>
                <w:sz w:val="24"/>
              </w:rPr>
              <w:t>ABCG2</w:t>
            </w:r>
            <w:r>
              <w:rPr>
                <w:sz w:val="24"/>
              </w:rPr>
              <w:t>，</w:t>
            </w:r>
            <w:r>
              <w:rPr>
                <w:sz w:val="24"/>
              </w:rPr>
              <w:t>MRP1</w:t>
            </w:r>
            <w:r>
              <w:rPr>
                <w:sz w:val="24"/>
              </w:rPr>
              <w:t>的表达量随之下调，有效改善了肿瘤组织周围的炎性微环境。在体内实</w:t>
            </w:r>
            <w:r>
              <w:rPr>
                <w:sz w:val="24"/>
              </w:rPr>
              <w:lastRenderedPageBreak/>
              <w:t>验中，</w:t>
            </w:r>
            <w:r>
              <w:rPr>
                <w:sz w:val="24"/>
              </w:rPr>
              <w:t>SPPI/siMUC1</w:t>
            </w:r>
            <w:r>
              <w:rPr>
                <w:sz w:val="24"/>
              </w:rPr>
              <w:t>载药体系展现出明显的抑瘤及抑制肿瘤转移的能力，表明该载体系统在体内外均能有效抑制肿瘤生长和转移，为肾癌的综合治疗提供了新的策略和理论依据。</w:t>
            </w:r>
            <w:r>
              <w:rPr>
                <w:sz w:val="24"/>
                <w:vertAlign w:val="superscript"/>
              </w:rPr>
              <w:t>[</w:t>
            </w:r>
            <w:r>
              <w:rPr>
                <w:rFonts w:hint="eastAsia"/>
                <w:sz w:val="24"/>
                <w:vertAlign w:val="superscript"/>
              </w:rPr>
              <w:t>8</w:t>
            </w:r>
            <w:r>
              <w:rPr>
                <w:sz w:val="24"/>
                <w:vertAlign w:val="superscript"/>
              </w:rPr>
              <w:t>]</w:t>
            </w:r>
          </w:p>
          <w:p w14:paraId="62F72935" w14:textId="77777777" w:rsidR="009907C0" w:rsidRDefault="00000000">
            <w:pPr>
              <w:spacing w:beforeLines="50" w:before="156" w:line="300" w:lineRule="auto"/>
              <w:ind w:firstLineChars="200" w:firstLine="480"/>
              <w:rPr>
                <w:sz w:val="24"/>
                <w:vertAlign w:val="superscript"/>
              </w:rPr>
            </w:pPr>
            <w:r>
              <w:rPr>
                <w:sz w:val="24"/>
              </w:rPr>
              <w:t>（</w:t>
            </w:r>
            <w:r>
              <w:rPr>
                <w:sz w:val="24"/>
              </w:rPr>
              <w:t>3</w:t>
            </w:r>
            <w:r>
              <w:rPr>
                <w:sz w:val="24"/>
              </w:rPr>
              <w:t>）温度敏感性多肽</w:t>
            </w:r>
            <w:r>
              <w:rPr>
                <w:sz w:val="24"/>
              </w:rPr>
              <w:t>/</w:t>
            </w:r>
            <w:proofErr w:type="gramStart"/>
            <w:r>
              <w:rPr>
                <w:sz w:val="24"/>
              </w:rPr>
              <w:t>介</w:t>
            </w:r>
            <w:proofErr w:type="gramEnd"/>
            <w:r>
              <w:rPr>
                <w:sz w:val="24"/>
              </w:rPr>
              <w:t>孔二氧化硅（</w:t>
            </w:r>
            <w:r>
              <w:rPr>
                <w:sz w:val="24"/>
              </w:rPr>
              <w:t>MSN</w:t>
            </w:r>
            <w:r>
              <w:rPr>
                <w:sz w:val="24"/>
              </w:rPr>
              <w:t>）纳米药物载体：通过将温敏亮氨酸拉链型多肽（</w:t>
            </w:r>
            <w:r>
              <w:rPr>
                <w:sz w:val="24"/>
              </w:rPr>
              <w:t>Pep</w:t>
            </w:r>
            <w:r>
              <w:rPr>
                <w:sz w:val="24"/>
              </w:rPr>
              <w:t>）接枝到</w:t>
            </w:r>
            <w:r>
              <w:rPr>
                <w:sz w:val="24"/>
              </w:rPr>
              <w:t>MSN</w:t>
            </w:r>
            <w:r>
              <w:rPr>
                <w:sz w:val="24"/>
              </w:rPr>
              <w:t>表面，并利用二硫键进行连接，以实现药物的控释。这种载体能够响应肿瘤区域的高</w:t>
            </w:r>
            <w:proofErr w:type="gramStart"/>
            <w:r>
              <w:rPr>
                <w:sz w:val="24"/>
              </w:rPr>
              <w:t>温环境</w:t>
            </w:r>
            <w:proofErr w:type="gramEnd"/>
            <w:r>
              <w:rPr>
                <w:sz w:val="24"/>
              </w:rPr>
              <w:t>和高浓度谷胱甘肽（</w:t>
            </w:r>
            <w:r>
              <w:rPr>
                <w:sz w:val="24"/>
              </w:rPr>
              <w:t>GSH</w:t>
            </w:r>
            <w:r>
              <w:rPr>
                <w:sz w:val="24"/>
              </w:rPr>
              <w:t>），从而促进抗癌药物阿霉素（</w:t>
            </w:r>
            <w:r>
              <w:rPr>
                <w:sz w:val="24"/>
              </w:rPr>
              <w:t>DOX</w:t>
            </w:r>
            <w:r>
              <w:rPr>
                <w:sz w:val="24"/>
              </w:rPr>
              <w:t>）的释放。</w:t>
            </w:r>
            <w:r>
              <w:rPr>
                <w:sz w:val="24"/>
                <w:vertAlign w:val="superscript"/>
              </w:rPr>
              <w:t>[</w:t>
            </w:r>
            <w:r>
              <w:rPr>
                <w:rFonts w:hint="eastAsia"/>
                <w:sz w:val="24"/>
                <w:vertAlign w:val="superscript"/>
              </w:rPr>
              <w:t>9</w:t>
            </w:r>
            <w:r>
              <w:rPr>
                <w:sz w:val="24"/>
                <w:vertAlign w:val="superscript"/>
              </w:rPr>
              <w:t>]</w:t>
            </w:r>
          </w:p>
          <w:p w14:paraId="62F72936" w14:textId="77777777" w:rsidR="009907C0" w:rsidRDefault="00000000">
            <w:pPr>
              <w:numPr>
                <w:ilvl w:val="255"/>
                <w:numId w:val="0"/>
              </w:numPr>
              <w:spacing w:beforeLines="100" w:before="312" w:line="300" w:lineRule="auto"/>
              <w:rPr>
                <w:sz w:val="24"/>
              </w:rPr>
            </w:pPr>
            <w:r>
              <w:rPr>
                <w:rFonts w:hint="eastAsia"/>
                <w:sz w:val="24"/>
              </w:rPr>
              <w:t>2.2.3</w:t>
            </w:r>
            <w:r>
              <w:rPr>
                <w:sz w:val="24"/>
              </w:rPr>
              <w:t>可注射凝胶</w:t>
            </w:r>
          </w:p>
          <w:p w14:paraId="62F72937" w14:textId="77777777" w:rsidR="009907C0" w:rsidRDefault="00000000">
            <w:pPr>
              <w:spacing w:line="300" w:lineRule="auto"/>
              <w:ind w:firstLineChars="200" w:firstLine="480"/>
              <w:rPr>
                <w:sz w:val="24"/>
                <w:vertAlign w:val="superscript"/>
              </w:rPr>
            </w:pPr>
            <w:r>
              <w:rPr>
                <w:rFonts w:hint="eastAsia"/>
                <w:sz w:val="24"/>
              </w:rPr>
              <w:t>（</w:t>
            </w:r>
            <w:r>
              <w:rPr>
                <w:rFonts w:hint="eastAsia"/>
                <w:sz w:val="24"/>
              </w:rPr>
              <w:t>1</w:t>
            </w:r>
            <w:r>
              <w:rPr>
                <w:rFonts w:hint="eastAsia"/>
                <w:sz w:val="24"/>
              </w:rPr>
              <w:t>）</w:t>
            </w:r>
            <w:r>
              <w:rPr>
                <w:sz w:val="24"/>
              </w:rPr>
              <w:t>pH</w:t>
            </w:r>
            <w:r>
              <w:rPr>
                <w:sz w:val="24"/>
              </w:rPr>
              <w:t>敏感性可注射水凝胶的制备和性能：研究团队研究了一种</w:t>
            </w:r>
            <w:proofErr w:type="gramStart"/>
            <w:r>
              <w:rPr>
                <w:sz w:val="24"/>
              </w:rPr>
              <w:t>基于壳</w:t>
            </w:r>
            <w:proofErr w:type="gramEnd"/>
            <w:r>
              <w:rPr>
                <w:sz w:val="24"/>
              </w:rPr>
              <w:t>聚糖、聚乙二醇和肝素的</w:t>
            </w:r>
            <w:r>
              <w:rPr>
                <w:sz w:val="24"/>
              </w:rPr>
              <w:t>pH</w:t>
            </w:r>
            <w:r>
              <w:rPr>
                <w:sz w:val="24"/>
              </w:rPr>
              <w:t>响应性可注射水凝胶的制备和性能，该水凝胶通过席夫碱反应形成，并用于负载具有抗肝纤维化活性的</w:t>
            </w:r>
            <w:r>
              <w:rPr>
                <w:sz w:val="24"/>
              </w:rPr>
              <w:t>PIGF-2123-144-BiPPB-mimIFNγ</w:t>
            </w:r>
            <w:r>
              <w:rPr>
                <w:sz w:val="24"/>
              </w:rPr>
              <w:t>融合蛋白。研究中，通过</w:t>
            </w:r>
            <w:r>
              <w:rPr>
                <w:sz w:val="24"/>
              </w:rPr>
              <w:t>1H-NMR</w:t>
            </w:r>
            <w:r>
              <w:rPr>
                <w:sz w:val="24"/>
              </w:rPr>
              <w:t>和</w:t>
            </w:r>
            <w:r>
              <w:rPr>
                <w:sz w:val="24"/>
              </w:rPr>
              <w:t>FT-IR</w:t>
            </w:r>
            <w:r>
              <w:rPr>
                <w:sz w:val="24"/>
              </w:rPr>
              <w:t>等技术成功表征了</w:t>
            </w:r>
            <w:r>
              <w:rPr>
                <w:sz w:val="24"/>
              </w:rPr>
              <w:t>NSCS</w:t>
            </w:r>
            <w:r>
              <w:rPr>
                <w:sz w:val="24"/>
              </w:rPr>
              <w:t>、</w:t>
            </w:r>
            <w:r>
              <w:rPr>
                <w:sz w:val="24"/>
              </w:rPr>
              <w:t>DF-PEG-DF</w:t>
            </w:r>
            <w:r>
              <w:rPr>
                <w:sz w:val="24"/>
              </w:rPr>
              <w:t>和</w:t>
            </w:r>
            <w:r>
              <w:rPr>
                <w:sz w:val="24"/>
              </w:rPr>
              <w:t>Hep-ADH</w:t>
            </w:r>
            <w:r>
              <w:rPr>
                <w:sz w:val="24"/>
              </w:rPr>
              <w:t>三种目标聚合物，并通过优化醛基和氨基的摩尔比，制备了稳定性好的水凝胶，其中醛基和氨基的最佳比例为</w:t>
            </w:r>
            <w:r>
              <w:rPr>
                <w:sz w:val="24"/>
              </w:rPr>
              <w:t>0.45</w:t>
            </w:r>
            <w:r>
              <w:rPr>
                <w:sz w:val="24"/>
              </w:rPr>
              <w:t>。所得水凝胶在</w:t>
            </w:r>
            <w:r>
              <w:rPr>
                <w:sz w:val="24"/>
              </w:rPr>
              <w:t>40-60</w:t>
            </w:r>
            <w:r>
              <w:rPr>
                <w:sz w:val="24"/>
              </w:rPr>
              <w:t>秒内成胶，具有良好的可注射性和自愈合能力，这些特性通过试管倒置法、体外注射实验和宏观自愈实验得到验证。扫描电镜</w:t>
            </w:r>
            <w:r>
              <w:rPr>
                <w:rFonts w:hint="eastAsia"/>
                <w:sz w:val="24"/>
              </w:rPr>
              <w:t>（</w:t>
            </w:r>
            <w:r>
              <w:rPr>
                <w:sz w:val="24"/>
              </w:rPr>
              <w:t>SEM</w:t>
            </w:r>
            <w:r>
              <w:rPr>
                <w:rFonts w:hint="eastAsia"/>
                <w:sz w:val="24"/>
              </w:rPr>
              <w:t>）</w:t>
            </w:r>
            <w:r>
              <w:rPr>
                <w:sz w:val="24"/>
              </w:rPr>
              <w:t>和流变仪测试表明，水凝胶具有疏松多孔结构和优异的机械性能。体外降解实验显示，水凝胶在</w:t>
            </w:r>
            <w:r>
              <w:rPr>
                <w:sz w:val="24"/>
              </w:rPr>
              <w:t>pH 6.0</w:t>
            </w:r>
            <w:r>
              <w:rPr>
                <w:sz w:val="24"/>
              </w:rPr>
              <w:t>的缓冲液中降解速度显著快于</w:t>
            </w:r>
            <w:r>
              <w:rPr>
                <w:sz w:val="24"/>
              </w:rPr>
              <w:t>pH</w:t>
            </w:r>
            <w:r>
              <w:rPr>
                <w:rFonts w:hint="eastAsia"/>
                <w:sz w:val="24"/>
              </w:rPr>
              <w:t xml:space="preserve"> </w:t>
            </w:r>
            <w:r>
              <w:rPr>
                <w:sz w:val="24"/>
              </w:rPr>
              <w:t>7.4</w:t>
            </w:r>
            <w:r>
              <w:rPr>
                <w:sz w:val="24"/>
              </w:rPr>
              <w:t>的缓冲液，表明其显著的</w:t>
            </w:r>
            <w:r>
              <w:rPr>
                <w:sz w:val="24"/>
              </w:rPr>
              <w:t>pH</w:t>
            </w:r>
            <w:r>
              <w:rPr>
                <w:sz w:val="24"/>
              </w:rPr>
              <w:t>响应性。细胞相容性实验通过</w:t>
            </w:r>
            <w:r>
              <w:rPr>
                <w:sz w:val="24"/>
              </w:rPr>
              <w:t>CCK-8</w:t>
            </w:r>
            <w:r>
              <w:rPr>
                <w:sz w:val="24"/>
              </w:rPr>
              <w:t>法和</w:t>
            </w:r>
            <w:proofErr w:type="spellStart"/>
            <w:r>
              <w:rPr>
                <w:sz w:val="24"/>
              </w:rPr>
              <w:t>Calcein</w:t>
            </w:r>
            <w:proofErr w:type="spellEnd"/>
            <w:r>
              <w:rPr>
                <w:sz w:val="24"/>
              </w:rPr>
              <w:t>-AM</w:t>
            </w:r>
            <w:r>
              <w:rPr>
                <w:sz w:val="24"/>
              </w:rPr>
              <w:t>染色法表明，水凝胶对肝细胞和</w:t>
            </w:r>
            <w:r>
              <w:rPr>
                <w:sz w:val="24"/>
              </w:rPr>
              <w:t>HSC</w:t>
            </w:r>
            <w:r>
              <w:rPr>
                <w:sz w:val="24"/>
              </w:rPr>
              <w:t>细胞具有良好的生物相容性。最后，通过将水凝胶注射到小鼠皮下，观察到水凝胶在体内具有良好的生物降解性能。这些结果表明，所制备的水凝胶作为一种新型的药物递送系统，在肝纤维化治疗中具有显著的应用潜力。</w:t>
            </w:r>
            <w:r>
              <w:rPr>
                <w:sz w:val="24"/>
                <w:vertAlign w:val="superscript"/>
              </w:rPr>
              <w:t>[</w:t>
            </w:r>
            <w:r>
              <w:rPr>
                <w:rFonts w:hint="eastAsia"/>
                <w:sz w:val="24"/>
                <w:vertAlign w:val="superscript"/>
              </w:rPr>
              <w:t>10</w:t>
            </w:r>
            <w:r>
              <w:rPr>
                <w:sz w:val="24"/>
                <w:vertAlign w:val="superscript"/>
              </w:rPr>
              <w:t>]</w:t>
            </w:r>
          </w:p>
          <w:p w14:paraId="62F72938" w14:textId="77777777" w:rsidR="009907C0" w:rsidRDefault="00000000">
            <w:pPr>
              <w:spacing w:beforeLines="50" w:before="156" w:line="300" w:lineRule="auto"/>
              <w:ind w:firstLineChars="200" w:firstLine="480"/>
              <w:rPr>
                <w:sz w:val="24"/>
                <w:vertAlign w:val="superscript"/>
              </w:rPr>
            </w:pPr>
            <w:r>
              <w:rPr>
                <w:sz w:val="24"/>
              </w:rPr>
              <w:t>（</w:t>
            </w:r>
            <w:r>
              <w:rPr>
                <w:sz w:val="24"/>
              </w:rPr>
              <w:t>2</w:t>
            </w:r>
            <w:r>
              <w:rPr>
                <w:sz w:val="24"/>
              </w:rPr>
              <w:t>）</w:t>
            </w:r>
            <w:r>
              <w:rPr>
                <w:sz w:val="24"/>
              </w:rPr>
              <w:t>pH</w:t>
            </w:r>
            <w:proofErr w:type="gramStart"/>
            <w:r>
              <w:rPr>
                <w:sz w:val="24"/>
              </w:rPr>
              <w:t>敏感型双载药水</w:t>
            </w:r>
            <w:proofErr w:type="gramEnd"/>
            <w:r>
              <w:rPr>
                <w:sz w:val="24"/>
              </w:rPr>
              <w:t>凝胶在食管癌治疗中的应用：研究团队成功开发了一种</w:t>
            </w:r>
            <w:r>
              <w:rPr>
                <w:sz w:val="24"/>
              </w:rPr>
              <w:t>pH</w:t>
            </w:r>
            <w:r>
              <w:rPr>
                <w:sz w:val="24"/>
              </w:rPr>
              <w:t>响应型、可注射</w:t>
            </w:r>
            <w:proofErr w:type="gramStart"/>
            <w:r>
              <w:rPr>
                <w:sz w:val="24"/>
              </w:rPr>
              <w:t>的双载药水</w:t>
            </w:r>
            <w:proofErr w:type="gramEnd"/>
            <w:r>
              <w:rPr>
                <w:sz w:val="24"/>
              </w:rPr>
              <w:t>凝胶药物递送系统（</w:t>
            </w:r>
            <w:r>
              <w:rPr>
                <w:sz w:val="24"/>
              </w:rPr>
              <w:t>CS-BA-PVA@Cu/CDDP</w:t>
            </w:r>
            <w:r>
              <w:rPr>
                <w:sz w:val="24"/>
              </w:rPr>
              <w:t>），用于食管鳞状细胞癌（</w:t>
            </w:r>
            <w:r>
              <w:rPr>
                <w:sz w:val="24"/>
              </w:rPr>
              <w:t>ESCC</w:t>
            </w:r>
            <w:r>
              <w:rPr>
                <w:sz w:val="24"/>
              </w:rPr>
              <w:t>）的治疗。该</w:t>
            </w:r>
            <w:proofErr w:type="gramStart"/>
            <w:r>
              <w:rPr>
                <w:sz w:val="24"/>
              </w:rPr>
              <w:t>水凝胶由壳聚糖</w:t>
            </w:r>
            <w:proofErr w:type="gramEnd"/>
            <w:r>
              <w:rPr>
                <w:sz w:val="24"/>
              </w:rPr>
              <w:t>、聚乙烯醇和</w:t>
            </w:r>
            <w:r>
              <w:rPr>
                <w:sz w:val="24"/>
              </w:rPr>
              <w:t>3-</w:t>
            </w:r>
            <w:r>
              <w:rPr>
                <w:sz w:val="24"/>
              </w:rPr>
              <w:t>羧基苯硼酸构成，通过硼酸酯键交联形成三维网络结构，共载</w:t>
            </w:r>
            <w:r>
              <w:rPr>
                <w:sz w:val="24"/>
              </w:rPr>
              <w:t>Cu</w:t>
            </w:r>
            <w:r>
              <w:rPr>
                <w:sz w:val="24"/>
                <w:vertAlign w:val="superscript"/>
              </w:rPr>
              <w:t>2+</w:t>
            </w:r>
            <w:r>
              <w:rPr>
                <w:sz w:val="24"/>
              </w:rPr>
              <w:t>和</w:t>
            </w:r>
            <w:r>
              <w:rPr>
                <w:sz w:val="24"/>
              </w:rPr>
              <w:t>CDDP</w:t>
            </w:r>
            <w:r>
              <w:rPr>
                <w:sz w:val="24"/>
              </w:rPr>
              <w:t>，展现出良好的生物相容性和生物可降解性。在弱酸性肿瘤微环境中，水凝胶能够响应性地释放药物，增加肿瘤组织中的药物蓄积，并通过</w:t>
            </w:r>
            <w:proofErr w:type="gramStart"/>
            <w:r>
              <w:rPr>
                <w:sz w:val="24"/>
              </w:rPr>
              <w:t>类芬顿反应</w:t>
            </w:r>
            <w:proofErr w:type="gramEnd"/>
            <w:r>
              <w:rPr>
                <w:sz w:val="24"/>
              </w:rPr>
              <w:t>产生羟基自由基，消耗</w:t>
            </w:r>
            <w:r>
              <w:rPr>
                <w:sz w:val="24"/>
              </w:rPr>
              <w:t>GSH</w:t>
            </w:r>
            <w:r>
              <w:rPr>
                <w:sz w:val="24"/>
              </w:rPr>
              <w:t>，增强</w:t>
            </w:r>
            <w:r>
              <w:rPr>
                <w:sz w:val="24"/>
              </w:rPr>
              <w:t>CDDP</w:t>
            </w:r>
            <w:r>
              <w:rPr>
                <w:sz w:val="24"/>
              </w:rPr>
              <w:t>的化疗效果，降低肿瘤细胞对</w:t>
            </w:r>
            <w:r>
              <w:rPr>
                <w:sz w:val="24"/>
              </w:rPr>
              <w:t>CDDP</w:t>
            </w:r>
            <w:r>
              <w:rPr>
                <w:sz w:val="24"/>
              </w:rPr>
              <w:t>的耐药性。体外细胞实验和体内动物实验均证实了其显著的抗肿瘤效果，包括抑制</w:t>
            </w:r>
            <w:r>
              <w:rPr>
                <w:sz w:val="24"/>
              </w:rPr>
              <w:t>ESCC</w:t>
            </w:r>
            <w:r>
              <w:rPr>
                <w:sz w:val="24"/>
              </w:rPr>
              <w:t>细胞的增殖、迁移，并诱导细胞凋亡。机制研究揭示，</w:t>
            </w:r>
            <w:r>
              <w:rPr>
                <w:sz w:val="24"/>
              </w:rPr>
              <w:t>CS-BA-PVA@Cu/CDDP</w:t>
            </w:r>
            <w:r>
              <w:rPr>
                <w:sz w:val="24"/>
              </w:rPr>
              <w:t>能诱导</w:t>
            </w:r>
            <w:r>
              <w:rPr>
                <w:sz w:val="24"/>
              </w:rPr>
              <w:t>ESCC</w:t>
            </w:r>
            <w:r>
              <w:rPr>
                <w:sz w:val="24"/>
              </w:rPr>
              <w:t>细胞发生铜死亡，并通过内质网应激诱导免疫原性细胞死亡，促进树突状细胞成熟，激活抗肿瘤免疫反应，抑制远处肺转移瘤的发生，为</w:t>
            </w:r>
            <w:r>
              <w:rPr>
                <w:sz w:val="24"/>
              </w:rPr>
              <w:t>ESCC</w:t>
            </w:r>
            <w:r>
              <w:rPr>
                <w:sz w:val="24"/>
              </w:rPr>
              <w:t>的安全和有效治疗提供了新的思路。</w:t>
            </w:r>
            <w:r>
              <w:rPr>
                <w:sz w:val="24"/>
                <w:vertAlign w:val="superscript"/>
              </w:rPr>
              <w:t>[1</w:t>
            </w:r>
            <w:r>
              <w:rPr>
                <w:rFonts w:hint="eastAsia"/>
                <w:sz w:val="24"/>
                <w:vertAlign w:val="superscript"/>
              </w:rPr>
              <w:t>1</w:t>
            </w:r>
            <w:r>
              <w:rPr>
                <w:sz w:val="24"/>
                <w:vertAlign w:val="superscript"/>
              </w:rPr>
              <w:t>]</w:t>
            </w:r>
          </w:p>
          <w:p w14:paraId="62F7293B" w14:textId="77777777" w:rsidR="009907C0" w:rsidRDefault="00000000">
            <w:pPr>
              <w:spacing w:beforeLines="50" w:before="156" w:line="300" w:lineRule="auto"/>
              <w:ind w:firstLineChars="200" w:firstLine="480"/>
              <w:rPr>
                <w:sz w:val="24"/>
              </w:rPr>
            </w:pPr>
            <w:r>
              <w:rPr>
                <w:sz w:val="24"/>
              </w:rPr>
              <w:t>（</w:t>
            </w:r>
            <w:r>
              <w:rPr>
                <w:sz w:val="24"/>
              </w:rPr>
              <w:t>3</w:t>
            </w:r>
            <w:r>
              <w:rPr>
                <w:sz w:val="24"/>
              </w:rPr>
              <w:t>）可注射荧光硫化铋</w:t>
            </w:r>
            <w:r>
              <w:rPr>
                <w:sz w:val="24"/>
              </w:rPr>
              <w:t>/</w:t>
            </w:r>
            <w:r>
              <w:rPr>
                <w:sz w:val="24"/>
              </w:rPr>
              <w:t>金纳米</w:t>
            </w:r>
            <w:proofErr w:type="gramStart"/>
            <w:r>
              <w:rPr>
                <w:sz w:val="24"/>
              </w:rPr>
              <w:t>簇</w:t>
            </w:r>
            <w:proofErr w:type="gramEnd"/>
            <w:r>
              <w:rPr>
                <w:sz w:val="24"/>
              </w:rPr>
              <w:t>水凝胶：以生物相容性良好的壳聚糖（</w:t>
            </w:r>
            <w:r>
              <w:rPr>
                <w:sz w:val="24"/>
              </w:rPr>
              <w:t>CS</w:t>
            </w:r>
            <w:r>
              <w:rPr>
                <w:sz w:val="24"/>
              </w:rPr>
              <w:t>）和硫化铋</w:t>
            </w:r>
            <w:r>
              <w:rPr>
                <w:sz w:val="24"/>
              </w:rPr>
              <w:t>-</w:t>
            </w:r>
            <w:r>
              <w:rPr>
                <w:sz w:val="24"/>
              </w:rPr>
              <w:t>金纳米</w:t>
            </w:r>
            <w:proofErr w:type="gramStart"/>
            <w:r>
              <w:rPr>
                <w:sz w:val="24"/>
              </w:rPr>
              <w:t>簇</w:t>
            </w:r>
            <w:proofErr w:type="gramEnd"/>
            <w:r>
              <w:rPr>
                <w:sz w:val="24"/>
              </w:rPr>
              <w:t>纳米颗粒（</w:t>
            </w:r>
            <w:r>
              <w:rPr>
                <w:sz w:val="24"/>
              </w:rPr>
              <w:t>Bi</w:t>
            </w:r>
            <w:r>
              <w:rPr>
                <w:sz w:val="24"/>
                <w:vertAlign w:val="subscript"/>
              </w:rPr>
              <w:t>2</w:t>
            </w:r>
            <w:r>
              <w:rPr>
                <w:sz w:val="24"/>
              </w:rPr>
              <w:t>S</w:t>
            </w:r>
            <w:r>
              <w:rPr>
                <w:sz w:val="24"/>
                <w:vertAlign w:val="subscript"/>
              </w:rPr>
              <w:t>3</w:t>
            </w:r>
            <w:r>
              <w:rPr>
                <w:sz w:val="24"/>
              </w:rPr>
              <w:t>-Au NCs NPs</w:t>
            </w:r>
            <w:r>
              <w:rPr>
                <w:sz w:val="24"/>
              </w:rPr>
              <w:t>）为原料，制备了具有肿瘤术后残余组织光热治疗和促进术后伤口愈合功能的新型水凝胶敷料。通过在</w:t>
            </w:r>
            <w:r>
              <w:rPr>
                <w:sz w:val="24"/>
              </w:rPr>
              <w:t>CS</w:t>
            </w:r>
            <w:r>
              <w:rPr>
                <w:sz w:val="24"/>
              </w:rPr>
              <w:t>上接枝具有贻贝类活性的邻苯</w:t>
            </w:r>
            <w:r>
              <w:rPr>
                <w:sz w:val="24"/>
              </w:rPr>
              <w:lastRenderedPageBreak/>
              <w:t>二</w:t>
            </w:r>
            <w:proofErr w:type="gramStart"/>
            <w:r>
              <w:rPr>
                <w:sz w:val="24"/>
              </w:rPr>
              <w:t>酚</w:t>
            </w:r>
            <w:proofErr w:type="gramEnd"/>
            <w:r>
              <w:rPr>
                <w:sz w:val="24"/>
              </w:rPr>
              <w:t>基团，提高了水凝胶与组织的黏附性。在室温（</w:t>
            </w:r>
            <w:r>
              <w:rPr>
                <w:sz w:val="24"/>
              </w:rPr>
              <w:t>25℃</w:t>
            </w:r>
            <w:r>
              <w:rPr>
                <w:sz w:val="24"/>
              </w:rPr>
              <w:t>）下，邻苯二</w:t>
            </w:r>
            <w:proofErr w:type="gramStart"/>
            <w:r>
              <w:rPr>
                <w:sz w:val="24"/>
              </w:rPr>
              <w:t>酚</w:t>
            </w:r>
            <w:proofErr w:type="gramEnd"/>
            <w:r>
              <w:rPr>
                <w:sz w:val="24"/>
              </w:rPr>
              <w:t>改性壳聚糖（</w:t>
            </w:r>
            <w:r>
              <w:rPr>
                <w:sz w:val="24"/>
              </w:rPr>
              <w:t>CHI-C</w:t>
            </w:r>
            <w:r>
              <w:rPr>
                <w:sz w:val="24"/>
              </w:rPr>
              <w:t>）和</w:t>
            </w:r>
            <w:r>
              <w:rPr>
                <w:sz w:val="24"/>
              </w:rPr>
              <w:t>Bi</w:t>
            </w:r>
            <w:r>
              <w:rPr>
                <w:sz w:val="24"/>
                <w:vertAlign w:val="subscript"/>
              </w:rPr>
              <w:t>2</w:t>
            </w:r>
            <w:r>
              <w:rPr>
                <w:sz w:val="24"/>
              </w:rPr>
              <w:t>S</w:t>
            </w:r>
            <w:r>
              <w:rPr>
                <w:sz w:val="24"/>
                <w:vertAlign w:val="subscript"/>
              </w:rPr>
              <w:t>3</w:t>
            </w:r>
            <w:r>
              <w:rPr>
                <w:sz w:val="24"/>
              </w:rPr>
              <w:t>-Au NCs NPs</w:t>
            </w:r>
            <w:r>
              <w:rPr>
                <w:sz w:val="24"/>
              </w:rPr>
              <w:t>经过简单搅拌混匀后，即可形成交联网络。制备的</w:t>
            </w:r>
            <w:r>
              <w:rPr>
                <w:sz w:val="24"/>
              </w:rPr>
              <w:t>Bi</w:t>
            </w:r>
            <w:r>
              <w:rPr>
                <w:sz w:val="24"/>
                <w:vertAlign w:val="subscript"/>
              </w:rPr>
              <w:t>2</w:t>
            </w:r>
            <w:r>
              <w:rPr>
                <w:sz w:val="24"/>
              </w:rPr>
              <w:t>S</w:t>
            </w:r>
            <w:r>
              <w:rPr>
                <w:sz w:val="24"/>
                <w:vertAlign w:val="subscript"/>
              </w:rPr>
              <w:t>3</w:t>
            </w:r>
            <w:r>
              <w:rPr>
                <w:sz w:val="24"/>
              </w:rPr>
              <w:t>-Au NCs-CHI-C</w:t>
            </w:r>
            <w:r>
              <w:rPr>
                <w:sz w:val="24"/>
              </w:rPr>
              <w:t>水凝胶可在</w:t>
            </w:r>
            <w:r>
              <w:rPr>
                <w:sz w:val="24"/>
              </w:rPr>
              <w:t>1 min</w:t>
            </w:r>
            <w:r>
              <w:rPr>
                <w:sz w:val="24"/>
              </w:rPr>
              <w:t>内在小鼠黑色素瘤术后伤口原位形成交联网络，并且在</w:t>
            </w:r>
            <w:r>
              <w:rPr>
                <w:sz w:val="24"/>
              </w:rPr>
              <w:t>808 nm</w:t>
            </w:r>
            <w:r>
              <w:rPr>
                <w:sz w:val="24"/>
              </w:rPr>
              <w:t>近红外光照射下，其温度可升至</w:t>
            </w:r>
            <w:r>
              <w:rPr>
                <w:sz w:val="24"/>
              </w:rPr>
              <w:t>49.2</w:t>
            </w:r>
            <w:r>
              <w:rPr>
                <w:rFonts w:hint="eastAsia"/>
                <w:sz w:val="24"/>
              </w:rPr>
              <w:t xml:space="preserve"> </w:t>
            </w:r>
            <w:r>
              <w:rPr>
                <w:sz w:val="24"/>
              </w:rPr>
              <w:t>℃</w:t>
            </w:r>
            <w:r>
              <w:rPr>
                <w:sz w:val="24"/>
              </w:rPr>
              <w:t>，从而可有效杀死残余肿瘤细胞。在</w:t>
            </w:r>
            <w:r>
              <w:rPr>
                <w:sz w:val="24"/>
              </w:rPr>
              <w:t>365 nm</w:t>
            </w:r>
            <w:r>
              <w:rPr>
                <w:sz w:val="24"/>
              </w:rPr>
              <w:t>紫外光照射下，此水凝胶发射强烈的红色荧光，可用于实时精准监测其伤口填充情况，有利于伤口特别是不规则伤口的愈合。</w:t>
            </w:r>
            <w:r>
              <w:rPr>
                <w:sz w:val="24"/>
                <w:vertAlign w:val="superscript"/>
              </w:rPr>
              <w:t>[1</w:t>
            </w:r>
            <w:r>
              <w:rPr>
                <w:rFonts w:hint="eastAsia"/>
                <w:sz w:val="24"/>
                <w:vertAlign w:val="superscript"/>
              </w:rPr>
              <w:t>2</w:t>
            </w:r>
            <w:r>
              <w:rPr>
                <w:sz w:val="24"/>
                <w:vertAlign w:val="superscript"/>
              </w:rPr>
              <w:t>]</w:t>
            </w:r>
          </w:p>
          <w:p w14:paraId="62F7293C" w14:textId="77777777" w:rsidR="009907C0" w:rsidRDefault="00000000">
            <w:pPr>
              <w:spacing w:beforeLines="100" w:before="312" w:line="300" w:lineRule="auto"/>
              <w:rPr>
                <w:sz w:val="24"/>
              </w:rPr>
            </w:pPr>
            <w:r>
              <w:rPr>
                <w:rFonts w:hint="eastAsia"/>
                <w:sz w:val="24"/>
              </w:rPr>
              <w:t>2.3</w:t>
            </w:r>
            <w:r>
              <w:rPr>
                <w:rFonts w:hint="eastAsia"/>
                <w:sz w:val="24"/>
              </w:rPr>
              <w:t>前期准备工作</w:t>
            </w:r>
          </w:p>
          <w:p w14:paraId="62F7293D" w14:textId="77777777" w:rsidR="009907C0" w:rsidRDefault="00000000">
            <w:pPr>
              <w:spacing w:line="300" w:lineRule="auto"/>
              <w:ind w:firstLineChars="200" w:firstLine="480"/>
              <w:rPr>
                <w:sz w:val="24"/>
              </w:rPr>
            </w:pPr>
            <w:r>
              <w:rPr>
                <w:sz w:val="24"/>
              </w:rPr>
              <w:t>（</w:t>
            </w:r>
            <w:r>
              <w:rPr>
                <w:sz w:val="24"/>
              </w:rPr>
              <w:t>1</w:t>
            </w:r>
            <w:r>
              <w:rPr>
                <w:sz w:val="24"/>
              </w:rPr>
              <w:t>）在有机化学课程的学习中深刻掌握相关反应机理，并且能够在实际有机合成过程的设计与制备中熟练运用。</w:t>
            </w:r>
          </w:p>
          <w:p w14:paraId="62F7293E" w14:textId="77777777" w:rsidR="009907C0" w:rsidRDefault="00000000">
            <w:pPr>
              <w:spacing w:beforeLines="50" w:before="156" w:line="300" w:lineRule="auto"/>
              <w:ind w:firstLineChars="200" w:firstLine="480"/>
              <w:rPr>
                <w:sz w:val="24"/>
              </w:rPr>
            </w:pPr>
            <w:r>
              <w:rPr>
                <w:sz w:val="24"/>
              </w:rPr>
              <w:t>（</w:t>
            </w:r>
            <w:r>
              <w:rPr>
                <w:sz w:val="24"/>
              </w:rPr>
              <w:t>2</w:t>
            </w:r>
            <w:r>
              <w:rPr>
                <w:sz w:val="24"/>
              </w:rPr>
              <w:t>）</w:t>
            </w:r>
            <w:r>
              <w:rPr>
                <w:rFonts w:hint="eastAsia"/>
                <w:sz w:val="24"/>
              </w:rPr>
              <w:t>进行系统性文献调研</w:t>
            </w:r>
            <w:r>
              <w:rPr>
                <w:sz w:val="24"/>
              </w:rPr>
              <w:t>，学习同类相关研究，尤其是国内外研究现状及前沿技术，并依据相关文献调研对实验方案做出调整与改进。</w:t>
            </w:r>
          </w:p>
          <w:p w14:paraId="7DE40508" w14:textId="77777777" w:rsidR="009907C0" w:rsidRDefault="00000000">
            <w:pPr>
              <w:spacing w:beforeLines="50" w:before="156" w:line="300" w:lineRule="auto"/>
              <w:ind w:firstLineChars="200" w:firstLine="480"/>
              <w:rPr>
                <w:sz w:val="24"/>
              </w:rPr>
            </w:pPr>
            <w:r>
              <w:rPr>
                <w:sz w:val="24"/>
              </w:rPr>
              <w:t>（</w:t>
            </w:r>
            <w:r>
              <w:rPr>
                <w:sz w:val="24"/>
              </w:rPr>
              <w:t>3</w:t>
            </w:r>
            <w:r>
              <w:rPr>
                <w:sz w:val="24"/>
              </w:rPr>
              <w:t>）参观研究生实验室，全面了解其中实验的操作流程与要点，在此基础上逐步尝试学习实验相关操作的步骤与规范。</w:t>
            </w:r>
          </w:p>
          <w:p w14:paraId="62F72942" w14:textId="77777777" w:rsidR="009907C0" w:rsidRDefault="00000000">
            <w:pPr>
              <w:spacing w:beforeLines="100" w:before="312" w:line="300" w:lineRule="auto"/>
            </w:pPr>
            <w:r>
              <w:rPr>
                <w:sz w:val="24"/>
              </w:rPr>
              <w:t>2.4</w:t>
            </w:r>
            <w:r>
              <w:rPr>
                <w:sz w:val="24"/>
              </w:rPr>
              <w:t>参考文献出处：</w:t>
            </w:r>
          </w:p>
          <w:p w14:paraId="622B470A" w14:textId="77777777" w:rsidR="009907C0" w:rsidRDefault="00000000">
            <w:pPr>
              <w:spacing w:line="300" w:lineRule="auto"/>
              <w:rPr>
                <w:color w:val="000000"/>
              </w:rPr>
            </w:pPr>
            <w:r>
              <w:rPr>
                <w:rFonts w:hint="eastAsia"/>
                <w:color w:val="000000"/>
              </w:rPr>
              <w:t>[1]</w:t>
            </w:r>
            <w:r>
              <w:rPr>
                <w:rFonts w:hint="eastAsia"/>
                <w:color w:val="000000"/>
              </w:rPr>
              <w:t>周小果</w:t>
            </w:r>
            <w:r>
              <w:rPr>
                <w:rFonts w:hint="eastAsia"/>
                <w:color w:val="000000"/>
              </w:rPr>
              <w:t>,</w:t>
            </w:r>
            <w:r>
              <w:rPr>
                <w:rFonts w:hint="eastAsia"/>
                <w:color w:val="000000"/>
              </w:rPr>
              <w:t>郭娜</w:t>
            </w:r>
            <w:r>
              <w:rPr>
                <w:rFonts w:hint="eastAsia"/>
                <w:color w:val="000000"/>
              </w:rPr>
              <w:t>,</w:t>
            </w:r>
            <w:r>
              <w:rPr>
                <w:rFonts w:hint="eastAsia"/>
                <w:color w:val="000000"/>
              </w:rPr>
              <w:t>段秋立</w:t>
            </w:r>
            <w:r>
              <w:rPr>
                <w:rFonts w:hint="eastAsia"/>
                <w:color w:val="000000"/>
              </w:rPr>
              <w:t>,</w:t>
            </w:r>
            <w:r>
              <w:rPr>
                <w:rFonts w:hint="eastAsia"/>
                <w:color w:val="000000"/>
              </w:rPr>
              <w:t>等</w:t>
            </w:r>
            <w:r>
              <w:rPr>
                <w:rFonts w:hint="eastAsia"/>
                <w:color w:val="000000"/>
              </w:rPr>
              <w:t>.</w:t>
            </w:r>
            <w:r>
              <w:rPr>
                <w:rFonts w:hint="eastAsia"/>
                <w:color w:val="000000"/>
              </w:rPr>
              <w:t>血清</w:t>
            </w:r>
            <w:r>
              <w:rPr>
                <w:rFonts w:hint="eastAsia"/>
                <w:color w:val="000000"/>
              </w:rPr>
              <w:t>MMP-9,ProGRP</w:t>
            </w:r>
            <w:r>
              <w:rPr>
                <w:rFonts w:hint="eastAsia"/>
                <w:color w:val="000000"/>
              </w:rPr>
              <w:t>及内皮素的水平与非小细胞肺癌分期的相关性分析</w:t>
            </w:r>
            <w:r>
              <w:rPr>
                <w:rFonts w:hint="eastAsia"/>
                <w:color w:val="000000"/>
              </w:rPr>
              <w:t>[J].</w:t>
            </w:r>
            <w:r>
              <w:rPr>
                <w:rFonts w:hint="eastAsia"/>
                <w:color w:val="000000"/>
              </w:rPr>
              <w:t>实用癌症杂志</w:t>
            </w:r>
            <w:r>
              <w:rPr>
                <w:rFonts w:hint="eastAsia"/>
                <w:color w:val="000000"/>
              </w:rPr>
              <w:t>, 2024, 39(9):1443-1445.</w:t>
            </w:r>
          </w:p>
          <w:p w14:paraId="3D8F0CAA" w14:textId="77777777" w:rsidR="009907C0" w:rsidRDefault="00000000">
            <w:pPr>
              <w:spacing w:line="300" w:lineRule="auto"/>
              <w:rPr>
                <w:color w:val="000000"/>
              </w:rPr>
            </w:pPr>
            <w:r>
              <w:rPr>
                <w:rFonts w:hint="eastAsia"/>
                <w:color w:val="000000"/>
              </w:rPr>
              <w:t>[2]</w:t>
            </w:r>
            <w:proofErr w:type="spellStart"/>
            <w:r>
              <w:rPr>
                <w:rFonts w:hint="eastAsia"/>
                <w:color w:val="000000"/>
              </w:rPr>
              <w:t>Alrehaili</w:t>
            </w:r>
            <w:proofErr w:type="spellEnd"/>
            <w:r>
              <w:rPr>
                <w:rFonts w:hint="eastAsia"/>
                <w:color w:val="000000"/>
              </w:rPr>
              <w:t xml:space="preserve"> A </w:t>
            </w:r>
            <w:proofErr w:type="spellStart"/>
            <w:r>
              <w:rPr>
                <w:rFonts w:hint="eastAsia"/>
                <w:color w:val="000000"/>
              </w:rPr>
              <w:t>A</w:t>
            </w:r>
            <w:proofErr w:type="spellEnd"/>
            <w:r>
              <w:rPr>
                <w:rFonts w:hint="eastAsia"/>
                <w:color w:val="000000"/>
              </w:rPr>
              <w:t xml:space="preserve"> , Gharib A F , Karam R A ,et </w:t>
            </w:r>
            <w:proofErr w:type="spellStart"/>
            <w:r>
              <w:rPr>
                <w:rFonts w:hint="eastAsia"/>
                <w:color w:val="000000"/>
              </w:rPr>
              <w:t>al.Clinical</w:t>
            </w:r>
            <w:proofErr w:type="spellEnd"/>
            <w:r>
              <w:rPr>
                <w:rFonts w:hint="eastAsia"/>
                <w:color w:val="000000"/>
              </w:rPr>
              <w:t xml:space="preserve"> significance of plasma MMP</w:t>
            </w:r>
            <w:r>
              <w:rPr>
                <w:rFonts w:hint="eastAsia"/>
                <w:color w:val="000000"/>
              </w:rPr>
              <w:t>‐</w:t>
            </w:r>
            <w:r>
              <w:rPr>
                <w:rFonts w:hint="eastAsia"/>
                <w:color w:val="000000"/>
              </w:rPr>
              <w:t>2 and MMP</w:t>
            </w:r>
            <w:r>
              <w:rPr>
                <w:rFonts w:hint="eastAsia"/>
                <w:color w:val="000000"/>
              </w:rPr>
              <w:t>‐</w:t>
            </w:r>
            <w:r>
              <w:rPr>
                <w:rFonts w:hint="eastAsia"/>
                <w:color w:val="000000"/>
              </w:rPr>
              <w:t>9 levels as biomarkers for tumor expression in breast cancer patients in Egypt[J].Molecular Biology Reports, 2020, 47(2):1153-1160.</w:t>
            </w:r>
          </w:p>
          <w:p w14:paraId="62F72945" w14:textId="77777777" w:rsidR="009907C0" w:rsidRDefault="00000000">
            <w:pPr>
              <w:spacing w:line="300" w:lineRule="auto"/>
              <w:rPr>
                <w:color w:val="000000"/>
              </w:rPr>
            </w:pPr>
            <w:r>
              <w:rPr>
                <w:color w:val="000000"/>
              </w:rPr>
              <w:t>[</w:t>
            </w:r>
            <w:r>
              <w:rPr>
                <w:rFonts w:hint="eastAsia"/>
                <w:color w:val="000000"/>
              </w:rPr>
              <w:t>3</w:t>
            </w:r>
            <w:r>
              <w:rPr>
                <w:color w:val="000000"/>
              </w:rPr>
              <w:t>]</w:t>
            </w:r>
            <w:r>
              <w:rPr>
                <w:color w:val="000000"/>
              </w:rPr>
              <w:t>李蒲</w:t>
            </w:r>
            <w:r>
              <w:rPr>
                <w:color w:val="000000"/>
              </w:rPr>
              <w:t>.ROS</w:t>
            </w:r>
            <w:r>
              <w:rPr>
                <w:color w:val="000000"/>
              </w:rPr>
              <w:t>响应型核交联聚合物胶束载药系统的构建及抗肿瘤研究</w:t>
            </w:r>
            <w:r>
              <w:rPr>
                <w:color w:val="000000"/>
              </w:rPr>
              <w:t>[D].</w:t>
            </w:r>
            <w:r>
              <w:rPr>
                <w:color w:val="000000"/>
              </w:rPr>
              <w:t>成都大学</w:t>
            </w:r>
            <w:r>
              <w:rPr>
                <w:color w:val="000000"/>
              </w:rPr>
              <w:t>,2024.</w:t>
            </w:r>
          </w:p>
          <w:p w14:paraId="62F72947" w14:textId="77777777" w:rsidR="009907C0" w:rsidRDefault="00000000">
            <w:pPr>
              <w:spacing w:line="300" w:lineRule="auto"/>
              <w:rPr>
                <w:color w:val="000000"/>
              </w:rPr>
            </w:pPr>
            <w:r>
              <w:rPr>
                <w:color w:val="000000"/>
              </w:rPr>
              <w:t>[</w:t>
            </w:r>
            <w:proofErr w:type="gramStart"/>
            <w:r>
              <w:rPr>
                <w:color w:val="000000"/>
              </w:rPr>
              <w:t>4]Marjan</w:t>
            </w:r>
            <w:proofErr w:type="gramEnd"/>
            <w:r>
              <w:rPr>
                <w:color w:val="000000"/>
              </w:rPr>
              <w:t xml:space="preserve"> M B ,Hamidreza M ,Parisa N , et </w:t>
            </w:r>
            <w:proofErr w:type="spellStart"/>
            <w:r>
              <w:rPr>
                <w:color w:val="000000"/>
              </w:rPr>
              <w:t>al.Self</w:t>
            </w:r>
            <w:proofErr w:type="spellEnd"/>
            <w:r>
              <w:rPr>
                <w:color w:val="000000"/>
              </w:rPr>
              <w:t xml:space="preserve">-assembled NIPAM–PEG–NIPAM polymeric </w:t>
            </w:r>
            <w:proofErr w:type="spellStart"/>
            <w:r>
              <w:rPr>
                <w:color w:val="000000"/>
              </w:rPr>
              <w:t>nanomicelles</w:t>
            </w:r>
            <w:proofErr w:type="spellEnd"/>
            <w:r>
              <w:rPr>
                <w:color w:val="000000"/>
              </w:rPr>
              <w:t xml:space="preserve"> for the delivery of zinc protoporphyrin: a potential stimuli-triggered cancer treatment approach[J].Journal of Materials Science,2024,59(7):3049-3065.</w:t>
            </w:r>
          </w:p>
          <w:p w14:paraId="62F72948" w14:textId="77777777" w:rsidR="009907C0" w:rsidRDefault="00000000">
            <w:pPr>
              <w:spacing w:line="300" w:lineRule="auto"/>
              <w:rPr>
                <w:color w:val="000000"/>
              </w:rPr>
            </w:pPr>
            <w:r>
              <w:rPr>
                <w:color w:val="000000"/>
              </w:rPr>
              <w:t>[5]</w:t>
            </w:r>
            <w:r>
              <w:rPr>
                <w:color w:val="000000"/>
              </w:rPr>
              <w:t>张川</w:t>
            </w:r>
            <w:r>
              <w:rPr>
                <w:color w:val="000000"/>
              </w:rPr>
              <w:t>.</w:t>
            </w:r>
            <w:r>
              <w:rPr>
                <w:color w:val="000000"/>
              </w:rPr>
              <w:t>多重响应性纳米载药体系构筑及在肿瘤光化疗方面的应用</w:t>
            </w:r>
            <w:r>
              <w:rPr>
                <w:color w:val="000000"/>
              </w:rPr>
              <w:t>[D].</w:t>
            </w:r>
            <w:r>
              <w:rPr>
                <w:color w:val="000000"/>
              </w:rPr>
              <w:t>吉林大学</w:t>
            </w:r>
            <w:r>
              <w:rPr>
                <w:color w:val="000000"/>
              </w:rPr>
              <w:t>,2019.</w:t>
            </w:r>
          </w:p>
          <w:p w14:paraId="29193F52" w14:textId="77777777" w:rsidR="009907C0" w:rsidRDefault="00000000">
            <w:pPr>
              <w:spacing w:line="300" w:lineRule="auto"/>
              <w:rPr>
                <w:color w:val="000000"/>
              </w:rPr>
            </w:pPr>
            <w:r>
              <w:rPr>
                <w:color w:val="000000"/>
              </w:rPr>
              <w:t>[</w:t>
            </w:r>
            <w:proofErr w:type="gramStart"/>
            <w:r>
              <w:rPr>
                <w:rFonts w:hint="eastAsia"/>
                <w:color w:val="000000"/>
              </w:rPr>
              <w:t>6</w:t>
            </w:r>
            <w:r>
              <w:rPr>
                <w:color w:val="000000"/>
              </w:rPr>
              <w:t>]Luo</w:t>
            </w:r>
            <w:proofErr w:type="gramEnd"/>
            <w:r>
              <w:rPr>
                <w:color w:val="000000"/>
              </w:rPr>
              <w:t xml:space="preserve"> C , Sun J , Liu D ,et </w:t>
            </w:r>
            <w:proofErr w:type="spellStart"/>
            <w:r>
              <w:rPr>
                <w:color w:val="000000"/>
              </w:rPr>
              <w:t>al.Self</w:t>
            </w:r>
            <w:proofErr w:type="spellEnd"/>
            <w:r>
              <w:rPr>
                <w:color w:val="000000"/>
              </w:rPr>
              <w:t>-Assembled Redox Dual-Responsive Prodrug-</w:t>
            </w:r>
            <w:proofErr w:type="spellStart"/>
            <w:r>
              <w:rPr>
                <w:color w:val="000000"/>
              </w:rPr>
              <w:t>Nanosystem</w:t>
            </w:r>
            <w:proofErr w:type="spellEnd"/>
            <w:r>
              <w:rPr>
                <w:color w:val="000000"/>
              </w:rPr>
              <w:t xml:space="preserve"> Formed by Single Thioether-Bridged Paclitaxel-Fatty Acid Conjugate for Cancer Chemotherapy[J].Nano Letters, 2016:5401.DOI:10.1021/acs.nanolett.6b01632.</w:t>
            </w:r>
          </w:p>
          <w:p w14:paraId="17E1DD0F" w14:textId="77777777" w:rsidR="009907C0" w:rsidRDefault="00000000">
            <w:pPr>
              <w:spacing w:line="300" w:lineRule="auto"/>
              <w:rPr>
                <w:color w:val="000000"/>
              </w:rPr>
            </w:pPr>
            <w:r>
              <w:rPr>
                <w:color w:val="000000"/>
              </w:rPr>
              <w:t>[</w:t>
            </w:r>
            <w:proofErr w:type="gramStart"/>
            <w:r>
              <w:rPr>
                <w:rFonts w:hint="eastAsia"/>
                <w:color w:val="000000"/>
              </w:rPr>
              <w:t>7</w:t>
            </w:r>
            <w:r>
              <w:rPr>
                <w:color w:val="000000"/>
              </w:rPr>
              <w:t>]Guo</w:t>
            </w:r>
            <w:proofErr w:type="gramEnd"/>
            <w:r>
              <w:rPr>
                <w:color w:val="000000"/>
              </w:rPr>
              <w:t xml:space="preserve"> Y , Li Y , Zhang M ,et </w:t>
            </w:r>
            <w:proofErr w:type="spellStart"/>
            <w:r>
              <w:rPr>
                <w:color w:val="000000"/>
              </w:rPr>
              <w:t>al.Polymeric</w:t>
            </w:r>
            <w:proofErr w:type="spellEnd"/>
            <w:r>
              <w:rPr>
                <w:color w:val="000000"/>
              </w:rPr>
              <w:t xml:space="preserve"> nanocarrier via metabolism regulation mediates immunogenic cell death with spatiotemporal orchestration for cancer immunotherapy[J].Nature Communications, 15(1):1-20[2024-11-10].</w:t>
            </w:r>
          </w:p>
          <w:p w14:paraId="62F7294B" w14:textId="77777777" w:rsidR="009907C0" w:rsidRDefault="00000000">
            <w:pPr>
              <w:spacing w:line="300" w:lineRule="auto"/>
            </w:pPr>
            <w:r>
              <w:rPr>
                <w:color w:val="000000"/>
              </w:rPr>
              <w:t>[</w:t>
            </w:r>
            <w:r>
              <w:rPr>
                <w:rFonts w:hint="eastAsia"/>
                <w:color w:val="000000"/>
              </w:rPr>
              <w:t>8</w:t>
            </w:r>
            <w:r>
              <w:rPr>
                <w:color w:val="000000"/>
              </w:rPr>
              <w:t>]</w:t>
            </w:r>
            <w:proofErr w:type="gramStart"/>
            <w:r>
              <w:rPr>
                <w:color w:val="000000"/>
              </w:rPr>
              <w:t>曾现虎</w:t>
            </w:r>
            <w:proofErr w:type="gramEnd"/>
            <w:r>
              <w:rPr>
                <w:color w:val="000000"/>
              </w:rPr>
              <w:t>.</w:t>
            </w:r>
            <w:r>
              <w:rPr>
                <w:color w:val="000000"/>
              </w:rPr>
              <w:t>调控脂质代谢影响肾癌耐药性的靶向基因载体构建及其生物评价</w:t>
            </w:r>
            <w:r>
              <w:rPr>
                <w:color w:val="000000"/>
              </w:rPr>
              <w:t>[D].</w:t>
            </w:r>
            <w:r>
              <w:rPr>
                <w:color w:val="000000"/>
              </w:rPr>
              <w:t>青岛大学</w:t>
            </w:r>
            <w:r>
              <w:rPr>
                <w:color w:val="000000"/>
              </w:rPr>
              <w:t>,2023.</w:t>
            </w:r>
          </w:p>
          <w:p w14:paraId="10B18CAC" w14:textId="77777777" w:rsidR="009907C0" w:rsidRDefault="00000000">
            <w:pPr>
              <w:spacing w:line="300" w:lineRule="auto"/>
              <w:rPr>
                <w:color w:val="000000"/>
              </w:rPr>
            </w:pPr>
            <w:r>
              <w:rPr>
                <w:color w:val="000000"/>
              </w:rPr>
              <w:t>[</w:t>
            </w:r>
            <w:r>
              <w:rPr>
                <w:rFonts w:hint="eastAsia"/>
                <w:color w:val="000000"/>
              </w:rPr>
              <w:t>9</w:t>
            </w:r>
            <w:r>
              <w:rPr>
                <w:color w:val="000000"/>
              </w:rPr>
              <w:t>]</w:t>
            </w:r>
            <w:r>
              <w:rPr>
                <w:rFonts w:hint="eastAsia"/>
                <w:color w:val="000000"/>
              </w:rPr>
              <w:t>徐俊、刘洪来、徐首红</w:t>
            </w:r>
            <w:r>
              <w:rPr>
                <w:rFonts w:hint="eastAsia"/>
                <w:color w:val="000000"/>
              </w:rPr>
              <w:t>.</w:t>
            </w:r>
            <w:r>
              <w:rPr>
                <w:rFonts w:hint="eastAsia"/>
                <w:color w:val="000000"/>
              </w:rPr>
              <w:t>温度敏感性多肽</w:t>
            </w:r>
            <w:r>
              <w:rPr>
                <w:rFonts w:hint="eastAsia"/>
                <w:color w:val="000000"/>
              </w:rPr>
              <w:t>/</w:t>
            </w:r>
            <w:proofErr w:type="gramStart"/>
            <w:r>
              <w:rPr>
                <w:rFonts w:hint="eastAsia"/>
                <w:color w:val="000000"/>
              </w:rPr>
              <w:t>介</w:t>
            </w:r>
            <w:proofErr w:type="gramEnd"/>
            <w:r>
              <w:rPr>
                <w:rFonts w:hint="eastAsia"/>
                <w:color w:val="000000"/>
              </w:rPr>
              <w:t>孔二氧化硅纳米药物载体的制备</w:t>
            </w:r>
            <w:r>
              <w:rPr>
                <w:rFonts w:hint="eastAsia"/>
                <w:color w:val="000000"/>
              </w:rPr>
              <w:t>[C]//</w:t>
            </w:r>
            <w:r>
              <w:rPr>
                <w:rFonts w:hint="eastAsia"/>
                <w:color w:val="000000"/>
              </w:rPr>
              <w:t>中国化学会第十七届全国胶体与界面化学学术会议</w:t>
            </w:r>
            <w:r>
              <w:rPr>
                <w:rFonts w:hint="eastAsia"/>
                <w:color w:val="000000"/>
              </w:rPr>
              <w:t>.2019.</w:t>
            </w:r>
          </w:p>
          <w:p w14:paraId="62F7294D" w14:textId="77777777" w:rsidR="009907C0" w:rsidRDefault="00000000">
            <w:pPr>
              <w:spacing w:line="300" w:lineRule="auto"/>
            </w:pPr>
            <w:r>
              <w:rPr>
                <w:color w:val="000000"/>
              </w:rPr>
              <w:t>[</w:t>
            </w:r>
            <w:r>
              <w:rPr>
                <w:rFonts w:hint="eastAsia"/>
                <w:color w:val="000000"/>
              </w:rPr>
              <w:t>10</w:t>
            </w:r>
            <w:r>
              <w:rPr>
                <w:color w:val="000000"/>
              </w:rPr>
              <w:t>]</w:t>
            </w:r>
            <w:proofErr w:type="gramStart"/>
            <w:r>
              <w:rPr>
                <w:color w:val="000000"/>
              </w:rPr>
              <w:t>莫春香</w:t>
            </w:r>
            <w:proofErr w:type="gramEnd"/>
            <w:r>
              <w:rPr>
                <w:color w:val="000000"/>
              </w:rPr>
              <w:t>.pH</w:t>
            </w:r>
            <w:r>
              <w:rPr>
                <w:color w:val="000000"/>
              </w:rPr>
              <w:t>响应性可注射水凝胶的制备、性能及其负载胶原</w:t>
            </w:r>
            <w:proofErr w:type="gramStart"/>
            <w:r>
              <w:rPr>
                <w:color w:val="000000"/>
              </w:rPr>
              <w:t>高亲性蛋白</w:t>
            </w:r>
            <w:proofErr w:type="gramEnd"/>
            <w:r>
              <w:rPr>
                <w:color w:val="000000"/>
              </w:rPr>
              <w:t>的研究</w:t>
            </w:r>
            <w:r>
              <w:rPr>
                <w:color w:val="000000"/>
              </w:rPr>
              <w:t>[D].</w:t>
            </w:r>
            <w:r>
              <w:rPr>
                <w:color w:val="000000"/>
              </w:rPr>
              <w:t>南华大学</w:t>
            </w:r>
            <w:r>
              <w:rPr>
                <w:color w:val="000000"/>
              </w:rPr>
              <w:t>,2022.</w:t>
            </w:r>
          </w:p>
          <w:p w14:paraId="62F7294E" w14:textId="77777777" w:rsidR="009907C0" w:rsidRDefault="00000000">
            <w:pPr>
              <w:spacing w:line="300" w:lineRule="auto"/>
            </w:pPr>
            <w:r>
              <w:rPr>
                <w:color w:val="000000"/>
              </w:rPr>
              <w:lastRenderedPageBreak/>
              <w:t>[1</w:t>
            </w:r>
            <w:r>
              <w:rPr>
                <w:rFonts w:hint="eastAsia"/>
                <w:color w:val="000000"/>
              </w:rPr>
              <w:t>1</w:t>
            </w:r>
            <w:r>
              <w:rPr>
                <w:color w:val="000000"/>
              </w:rPr>
              <w:t>]</w:t>
            </w:r>
            <w:proofErr w:type="gramStart"/>
            <w:r>
              <w:rPr>
                <w:color w:val="000000"/>
              </w:rPr>
              <w:t>张炎晖</w:t>
            </w:r>
            <w:proofErr w:type="gramEnd"/>
            <w:r>
              <w:rPr>
                <w:color w:val="000000"/>
              </w:rPr>
              <w:t>.pH</w:t>
            </w:r>
            <w:r>
              <w:rPr>
                <w:color w:val="000000"/>
              </w:rPr>
              <w:t>响应型双载药可注射水凝胶在食管鳞状细胞癌治疗中的应用及机制研究</w:t>
            </w:r>
            <w:r>
              <w:rPr>
                <w:color w:val="000000"/>
              </w:rPr>
              <w:t>[D].</w:t>
            </w:r>
            <w:r>
              <w:rPr>
                <w:color w:val="000000"/>
              </w:rPr>
              <w:t>中国人民解放军海军军医大学</w:t>
            </w:r>
            <w:r>
              <w:rPr>
                <w:color w:val="000000"/>
              </w:rPr>
              <w:t>,2024.</w:t>
            </w:r>
          </w:p>
          <w:p w14:paraId="62F72950" w14:textId="77777777" w:rsidR="009907C0" w:rsidRDefault="00000000">
            <w:pPr>
              <w:spacing w:afterLines="100" w:after="312" w:line="300" w:lineRule="auto"/>
            </w:pPr>
            <w:r>
              <w:rPr>
                <w:color w:val="000000"/>
              </w:rPr>
              <w:t>[1</w:t>
            </w:r>
            <w:r>
              <w:rPr>
                <w:rFonts w:hint="eastAsia"/>
                <w:color w:val="000000"/>
              </w:rPr>
              <w:t>2</w:t>
            </w:r>
            <w:r>
              <w:rPr>
                <w:color w:val="000000"/>
              </w:rPr>
              <w:t>]</w:t>
            </w:r>
            <w:r>
              <w:rPr>
                <w:color w:val="000000"/>
              </w:rPr>
              <w:t>李卓</w:t>
            </w:r>
            <w:r>
              <w:rPr>
                <w:color w:val="000000"/>
              </w:rPr>
              <w:t>,</w:t>
            </w:r>
            <w:r>
              <w:rPr>
                <w:color w:val="000000"/>
              </w:rPr>
              <w:t>杨绍贤</w:t>
            </w:r>
            <w:r>
              <w:rPr>
                <w:color w:val="000000"/>
              </w:rPr>
              <w:t>,</w:t>
            </w:r>
            <w:r>
              <w:rPr>
                <w:color w:val="000000"/>
              </w:rPr>
              <w:t>刘蕊</w:t>
            </w:r>
            <w:r>
              <w:rPr>
                <w:color w:val="000000"/>
              </w:rPr>
              <w:t>,</w:t>
            </w:r>
            <w:r>
              <w:rPr>
                <w:color w:val="000000"/>
              </w:rPr>
              <w:t>等</w:t>
            </w:r>
            <w:r>
              <w:rPr>
                <w:color w:val="000000"/>
              </w:rPr>
              <w:t>.</w:t>
            </w:r>
            <w:r>
              <w:rPr>
                <w:color w:val="000000"/>
              </w:rPr>
              <w:t>可注射荧光硫化铋</w:t>
            </w:r>
            <w:r>
              <w:rPr>
                <w:color w:val="000000"/>
              </w:rPr>
              <w:t>/</w:t>
            </w:r>
            <w:r>
              <w:rPr>
                <w:color w:val="000000"/>
              </w:rPr>
              <w:t>金纳米</w:t>
            </w:r>
            <w:proofErr w:type="gramStart"/>
            <w:r>
              <w:rPr>
                <w:color w:val="000000"/>
              </w:rPr>
              <w:t>簇</w:t>
            </w:r>
            <w:proofErr w:type="gramEnd"/>
            <w:r>
              <w:rPr>
                <w:color w:val="000000"/>
              </w:rPr>
              <w:t>水凝胶用于肿瘤术后光热治疗和促进伤口愈合性能分析</w:t>
            </w:r>
            <w:r>
              <w:rPr>
                <w:color w:val="000000"/>
              </w:rPr>
              <w:t>[J].</w:t>
            </w:r>
            <w:r>
              <w:rPr>
                <w:color w:val="000000"/>
              </w:rPr>
              <w:t>分析化学</w:t>
            </w:r>
            <w:r>
              <w:rPr>
                <w:color w:val="000000"/>
              </w:rPr>
              <w:t>,2024,52(07)</w:t>
            </w:r>
          </w:p>
        </w:tc>
      </w:tr>
      <w:tr w:rsidR="009907C0" w14:paraId="62F72956" w14:textId="77777777">
        <w:trPr>
          <w:trHeight w:val="593"/>
          <w:jc w:val="center"/>
        </w:trPr>
        <w:tc>
          <w:tcPr>
            <w:tcW w:w="336" w:type="dxa"/>
            <w:vMerge w:val="restart"/>
            <w:vAlign w:val="center"/>
          </w:tcPr>
          <w:p w14:paraId="62F72952" w14:textId="77777777" w:rsidR="009907C0" w:rsidRDefault="00000000">
            <w:pPr>
              <w:spacing w:line="300" w:lineRule="auto"/>
              <w:rPr>
                <w:b/>
                <w:sz w:val="24"/>
              </w:rPr>
            </w:pPr>
            <w:r>
              <w:rPr>
                <w:rFonts w:hint="eastAsia"/>
                <w:sz w:val="22"/>
                <w:szCs w:val="22"/>
              </w:rPr>
              <w:lastRenderedPageBreak/>
              <w:tab/>
            </w:r>
            <w:r>
              <w:rPr>
                <w:rFonts w:hint="eastAsia"/>
                <w:b/>
                <w:sz w:val="24"/>
              </w:rPr>
              <w:t>项</w:t>
            </w:r>
          </w:p>
          <w:p w14:paraId="62F72953" w14:textId="77777777" w:rsidR="009907C0" w:rsidRDefault="00000000">
            <w:pPr>
              <w:spacing w:line="300" w:lineRule="auto"/>
              <w:rPr>
                <w:b/>
                <w:sz w:val="24"/>
              </w:rPr>
            </w:pPr>
            <w:r>
              <w:rPr>
                <w:rFonts w:hint="eastAsia"/>
                <w:b/>
                <w:sz w:val="24"/>
              </w:rPr>
              <w:t>目</w:t>
            </w:r>
          </w:p>
          <w:p w14:paraId="62F72954" w14:textId="77777777" w:rsidR="009907C0" w:rsidRDefault="00000000">
            <w:pPr>
              <w:spacing w:line="300" w:lineRule="auto"/>
              <w:rPr>
                <w:b/>
                <w:sz w:val="24"/>
              </w:rPr>
            </w:pPr>
            <w:r>
              <w:rPr>
                <w:rFonts w:hint="eastAsia"/>
                <w:b/>
                <w:sz w:val="24"/>
              </w:rPr>
              <w:t>申请理由</w:t>
            </w:r>
          </w:p>
        </w:tc>
        <w:tc>
          <w:tcPr>
            <w:tcW w:w="9458" w:type="dxa"/>
          </w:tcPr>
          <w:p w14:paraId="62F72955" w14:textId="77777777" w:rsidR="009907C0" w:rsidRDefault="00000000">
            <w:pPr>
              <w:spacing w:line="300" w:lineRule="auto"/>
              <w:rPr>
                <w:rFonts w:ascii="仿宋_GB2312" w:eastAsia="仿宋_GB2312" w:hAnsi="宋体" w:hint="eastAsia"/>
                <w:sz w:val="24"/>
              </w:rPr>
            </w:pPr>
            <w:r>
              <w:rPr>
                <w:rFonts w:ascii="仿宋_GB2312" w:eastAsia="仿宋_GB2312" w:hAnsi="宋体" w:hint="eastAsia"/>
                <w:sz w:val="24"/>
              </w:rPr>
              <w:t>（项目团队成员具备的知识基础、能力素养、兴趣特长和已参加的科研等条件）</w:t>
            </w:r>
          </w:p>
        </w:tc>
      </w:tr>
      <w:tr w:rsidR="009907C0" w14:paraId="62F7295D" w14:textId="77777777">
        <w:trPr>
          <w:trHeight w:val="4494"/>
          <w:jc w:val="center"/>
        </w:trPr>
        <w:tc>
          <w:tcPr>
            <w:tcW w:w="336" w:type="dxa"/>
            <w:vMerge/>
            <w:vAlign w:val="center"/>
          </w:tcPr>
          <w:p w14:paraId="62F72957" w14:textId="77777777" w:rsidR="009907C0" w:rsidRDefault="009907C0">
            <w:pPr>
              <w:spacing w:line="300" w:lineRule="auto"/>
              <w:rPr>
                <w:sz w:val="22"/>
                <w:szCs w:val="22"/>
              </w:rPr>
            </w:pPr>
          </w:p>
        </w:tc>
        <w:tc>
          <w:tcPr>
            <w:tcW w:w="9458" w:type="dxa"/>
          </w:tcPr>
          <w:p w14:paraId="62F72958" w14:textId="77777777" w:rsidR="009907C0" w:rsidRDefault="00000000">
            <w:pPr>
              <w:spacing w:line="300" w:lineRule="auto"/>
              <w:ind w:firstLineChars="200" w:firstLine="480"/>
              <w:rPr>
                <w:rFonts w:ascii="宋体" w:hAnsi="宋体" w:cs="宋体" w:hint="eastAsia"/>
                <w:sz w:val="24"/>
              </w:rPr>
            </w:pPr>
            <w:r>
              <w:rPr>
                <w:rFonts w:ascii="宋体" w:hAnsi="宋体" w:cs="宋体"/>
                <w:color w:val="000000"/>
                <w:sz w:val="24"/>
              </w:rPr>
              <w:t>四名队员成绩优异，学习积极向上，具有高分子材料、化学、生物等基本知识。团队成员来自化学院和材料学院，可以发挥跨学科优势。</w:t>
            </w:r>
          </w:p>
          <w:p w14:paraId="62F72959" w14:textId="77777777" w:rsidR="009907C0" w:rsidRDefault="00000000">
            <w:pPr>
              <w:spacing w:beforeLines="50" w:before="156" w:line="300" w:lineRule="auto"/>
              <w:ind w:firstLineChars="200" w:firstLine="482"/>
              <w:rPr>
                <w:rFonts w:ascii="宋体" w:hAnsi="宋体" w:cs="宋体" w:hint="eastAsia"/>
                <w:color w:val="000000"/>
                <w:sz w:val="24"/>
              </w:rPr>
            </w:pPr>
            <w:r>
              <w:rPr>
                <w:rFonts w:ascii="宋体" w:hAnsi="宋体" w:cs="宋体"/>
                <w:b/>
                <w:color w:val="000000"/>
                <w:sz w:val="24"/>
              </w:rPr>
              <w:t>项目组组长</w:t>
            </w:r>
            <w:proofErr w:type="gramStart"/>
            <w:r>
              <w:rPr>
                <w:rFonts w:ascii="宋体" w:hAnsi="宋体" w:cs="宋体"/>
                <w:b/>
                <w:color w:val="000000"/>
                <w:sz w:val="24"/>
              </w:rPr>
              <w:t>翟</w:t>
            </w:r>
            <w:proofErr w:type="gramEnd"/>
            <w:r>
              <w:rPr>
                <w:rFonts w:ascii="宋体" w:hAnsi="宋体" w:cs="宋体"/>
                <w:b/>
                <w:color w:val="000000"/>
                <w:sz w:val="24"/>
              </w:rPr>
              <w:t>思凡</w:t>
            </w:r>
            <w:r>
              <w:rPr>
                <w:rFonts w:ascii="宋体" w:hAnsi="宋体" w:cs="宋体"/>
                <w:color w:val="000000"/>
                <w:sz w:val="24"/>
              </w:rPr>
              <w:t xml:space="preserve"> 来自化学与分子工程学院化学基地230班，共青团员。专业综评第九，专业知识牢固。获得外</w:t>
            </w:r>
            <w:proofErr w:type="gramStart"/>
            <w:r>
              <w:rPr>
                <w:rFonts w:ascii="宋体" w:hAnsi="宋体" w:cs="宋体"/>
                <w:color w:val="000000"/>
                <w:sz w:val="24"/>
              </w:rPr>
              <w:t>研</w:t>
            </w:r>
            <w:r>
              <w:rPr>
                <w:rFonts w:ascii="宋体" w:hAnsi="宋体" w:cs="宋体" w:hint="eastAsia"/>
                <w:color w:val="000000"/>
                <w:sz w:val="24"/>
              </w:rPr>
              <w:t>社国才杯</w:t>
            </w:r>
            <w:proofErr w:type="gramEnd"/>
            <w:r>
              <w:rPr>
                <w:rFonts w:ascii="宋体" w:hAnsi="宋体" w:cs="宋体"/>
                <w:color w:val="000000"/>
                <w:sz w:val="24"/>
              </w:rPr>
              <w:t>笔译赛</w:t>
            </w:r>
            <w:r>
              <w:rPr>
                <w:rFonts w:ascii="宋体" w:hAnsi="宋体" w:cs="宋体" w:hint="eastAsia"/>
                <w:color w:val="000000"/>
                <w:sz w:val="24"/>
              </w:rPr>
              <w:t>道</w:t>
            </w:r>
            <w:r>
              <w:rPr>
                <w:rFonts w:ascii="宋体" w:hAnsi="宋体" w:cs="宋体"/>
                <w:color w:val="000000"/>
                <w:sz w:val="24"/>
              </w:rPr>
              <w:t>银奖，大</w:t>
            </w:r>
            <w:proofErr w:type="gramStart"/>
            <w:r>
              <w:rPr>
                <w:rFonts w:ascii="宋体" w:hAnsi="宋体" w:cs="宋体"/>
                <w:color w:val="000000"/>
                <w:sz w:val="24"/>
              </w:rPr>
              <w:t>一</w:t>
            </w:r>
            <w:proofErr w:type="gramEnd"/>
            <w:r>
              <w:rPr>
                <w:rFonts w:ascii="宋体" w:hAnsi="宋体" w:cs="宋体"/>
                <w:color w:val="000000"/>
                <w:sz w:val="24"/>
              </w:rPr>
              <w:t>学年一等奖学金，社工奖C</w:t>
            </w:r>
            <w:r>
              <w:rPr>
                <w:rFonts w:ascii="宋体" w:hAnsi="宋体" w:cs="宋体" w:hint="eastAsia"/>
                <w:color w:val="000000"/>
                <w:sz w:val="24"/>
              </w:rPr>
              <w:t>，全国计算机等级考试python二级良好</w:t>
            </w:r>
            <w:r>
              <w:rPr>
                <w:rFonts w:ascii="宋体" w:hAnsi="宋体" w:cs="宋体"/>
                <w:color w:val="000000"/>
                <w:sz w:val="24"/>
              </w:rPr>
              <w:t>。选修文献搜索课程以提高文献阅读能力。参加多项志愿活动，以院新媒体成员身份参加多项院级活动，具有较强的团队协作能力。</w:t>
            </w:r>
          </w:p>
          <w:p w14:paraId="62F7295A" w14:textId="77777777" w:rsidR="009907C0" w:rsidRDefault="00000000">
            <w:pPr>
              <w:spacing w:beforeLines="50" w:before="156" w:line="300" w:lineRule="auto"/>
              <w:ind w:firstLineChars="200" w:firstLine="482"/>
              <w:rPr>
                <w:rFonts w:ascii="宋体" w:hAnsi="宋体" w:cs="宋体" w:hint="eastAsia"/>
                <w:color w:val="000000"/>
                <w:sz w:val="24"/>
              </w:rPr>
            </w:pPr>
            <w:r>
              <w:rPr>
                <w:rFonts w:ascii="宋体" w:hAnsi="宋体" w:cs="宋体"/>
                <w:b/>
                <w:color w:val="000000"/>
                <w:sz w:val="24"/>
              </w:rPr>
              <w:t>项目组成员陈天力</w:t>
            </w:r>
            <w:r>
              <w:rPr>
                <w:rFonts w:ascii="宋体" w:hAnsi="宋体" w:cs="宋体"/>
                <w:color w:val="000000"/>
                <w:sz w:val="24"/>
              </w:rPr>
              <w:t xml:space="preserve"> 来自材料科学与工程学院高材232班，共青团员。担任校学生会权益部部长，并学生会之星称号、社工奖B等。入学以来努力学习专业知识，成绩良好，获三等奖学金。学科拓展知识丰富，获得全国行业英语大赛二等奖、外</w:t>
            </w:r>
            <w:proofErr w:type="gramStart"/>
            <w:r>
              <w:rPr>
                <w:rFonts w:ascii="宋体" w:hAnsi="宋体" w:cs="宋体"/>
                <w:color w:val="000000"/>
                <w:sz w:val="24"/>
              </w:rPr>
              <w:t>研</w:t>
            </w:r>
            <w:r>
              <w:rPr>
                <w:rFonts w:ascii="宋体" w:hAnsi="宋体" w:cs="宋体" w:hint="eastAsia"/>
                <w:color w:val="000000"/>
                <w:sz w:val="24"/>
              </w:rPr>
              <w:t>社国才杯</w:t>
            </w:r>
            <w:proofErr w:type="gramEnd"/>
            <w:r>
              <w:rPr>
                <w:rFonts w:ascii="宋体" w:hAnsi="宋体" w:cs="宋体" w:hint="eastAsia"/>
                <w:color w:val="000000"/>
                <w:sz w:val="24"/>
              </w:rPr>
              <w:t>演讲</w:t>
            </w:r>
            <w:r>
              <w:rPr>
                <w:rFonts w:ascii="宋体" w:hAnsi="宋体" w:cs="宋体"/>
                <w:color w:val="000000"/>
                <w:sz w:val="24"/>
              </w:rPr>
              <w:t>赛</w:t>
            </w:r>
            <w:r>
              <w:rPr>
                <w:rFonts w:ascii="宋体" w:hAnsi="宋体" w:cs="宋体" w:hint="eastAsia"/>
                <w:color w:val="000000"/>
                <w:sz w:val="24"/>
              </w:rPr>
              <w:t>道市级金</w:t>
            </w:r>
            <w:r>
              <w:rPr>
                <w:rFonts w:ascii="宋体" w:hAnsi="宋体" w:cs="宋体"/>
                <w:color w:val="000000"/>
                <w:sz w:val="24"/>
              </w:rPr>
              <w:t>奖</w:t>
            </w:r>
            <w:r>
              <w:rPr>
                <w:rFonts w:ascii="宋体" w:hAnsi="宋体" w:cs="宋体" w:hint="eastAsia"/>
                <w:color w:val="000000"/>
                <w:sz w:val="24"/>
              </w:rPr>
              <w:t>、</w:t>
            </w:r>
            <w:r>
              <w:rPr>
                <w:rFonts w:ascii="宋体" w:hAnsi="宋体" w:cs="宋体"/>
                <w:color w:val="000000"/>
                <w:sz w:val="24"/>
              </w:rPr>
              <w:t>“邵万生”杯演讲赛一等奖。参加各类校园活动，具有较强的团队协作能力。</w:t>
            </w:r>
          </w:p>
          <w:p w14:paraId="62F7295B" w14:textId="77777777" w:rsidR="009907C0" w:rsidRDefault="00000000">
            <w:pPr>
              <w:spacing w:beforeLines="50" w:before="156" w:line="300" w:lineRule="auto"/>
              <w:ind w:firstLineChars="200" w:firstLine="482"/>
              <w:rPr>
                <w:rFonts w:ascii="宋体" w:hAnsi="宋体" w:cs="宋体" w:hint="eastAsia"/>
                <w:color w:val="000000"/>
                <w:sz w:val="24"/>
              </w:rPr>
            </w:pPr>
            <w:r>
              <w:rPr>
                <w:rFonts w:ascii="宋体" w:hAnsi="宋体" w:cs="宋体"/>
                <w:b/>
                <w:color w:val="000000"/>
                <w:sz w:val="24"/>
              </w:rPr>
              <w:t xml:space="preserve">项目组成员庞博 </w:t>
            </w:r>
            <w:r>
              <w:rPr>
                <w:rFonts w:ascii="宋体" w:hAnsi="宋体" w:cs="宋体"/>
                <w:color w:val="000000"/>
                <w:sz w:val="24"/>
              </w:rPr>
              <w:t>来自化学与分子工程学院化学基地230班，共青团员。在大学中经历了一年多的锤炼，</w:t>
            </w:r>
            <w:r>
              <w:rPr>
                <w:rFonts w:ascii="宋体" w:hAnsi="宋体" w:cs="宋体" w:hint="eastAsia"/>
                <w:color w:val="000000"/>
                <w:sz w:val="24"/>
              </w:rPr>
              <w:t>具备</w:t>
            </w:r>
            <w:r>
              <w:rPr>
                <w:rFonts w:ascii="宋体" w:hAnsi="宋体" w:cs="宋体"/>
                <w:color w:val="000000"/>
                <w:sz w:val="24"/>
              </w:rPr>
              <w:t>扎实的基础知识，尤其在数学与化学各个科目的学习中取得了优异的成绩，并在英语写作及口语表达方面有一定特长。同时在校四星社团“明德读书协会”中担任行政部部长一职，有良好的沟通、协作能力。</w:t>
            </w:r>
          </w:p>
          <w:p w14:paraId="62F7295C" w14:textId="77777777" w:rsidR="009907C0" w:rsidRDefault="00000000">
            <w:pPr>
              <w:spacing w:beforeLines="50" w:before="156" w:afterLines="100" w:after="312" w:line="300" w:lineRule="auto"/>
              <w:ind w:firstLineChars="200" w:firstLine="482"/>
              <w:rPr>
                <w:rFonts w:ascii="宋体" w:hAnsi="宋体" w:cs="宋体" w:hint="eastAsia"/>
                <w:b/>
                <w:color w:val="000000"/>
                <w:sz w:val="24"/>
              </w:rPr>
            </w:pPr>
            <w:r>
              <w:rPr>
                <w:rFonts w:ascii="宋体" w:hAnsi="宋体" w:cs="宋体"/>
                <w:b/>
                <w:color w:val="000000"/>
                <w:sz w:val="24"/>
              </w:rPr>
              <w:t xml:space="preserve">项目组成员石佳怡 </w:t>
            </w:r>
            <w:r>
              <w:rPr>
                <w:rFonts w:ascii="宋体" w:hAnsi="宋体" w:cs="宋体"/>
                <w:color w:val="000000"/>
                <w:sz w:val="24"/>
              </w:rPr>
              <w:t>来自化学与分子工程学院应化231班团支书，华东理工大学国旗护卫队副队长，共青团员。牢筑专业知识，大</w:t>
            </w:r>
            <w:proofErr w:type="gramStart"/>
            <w:r>
              <w:rPr>
                <w:rFonts w:ascii="宋体" w:hAnsi="宋体" w:cs="宋体"/>
                <w:color w:val="000000"/>
                <w:sz w:val="24"/>
              </w:rPr>
              <w:t>一学年获二等</w:t>
            </w:r>
            <w:proofErr w:type="gramEnd"/>
            <w:r>
              <w:rPr>
                <w:rFonts w:ascii="宋体" w:hAnsi="宋体" w:cs="宋体"/>
                <w:color w:val="000000"/>
                <w:sz w:val="24"/>
              </w:rPr>
              <w:t>奖学金。有丰富的创新创业及团队协作经验，现为一国家级大创负责人，有一定的科研基础，文献阅读与信息检索能力较强，熟悉大</w:t>
            </w:r>
            <w:proofErr w:type="gramStart"/>
            <w:r>
              <w:rPr>
                <w:rFonts w:ascii="宋体" w:hAnsi="宋体" w:cs="宋体"/>
                <w:color w:val="000000"/>
                <w:sz w:val="24"/>
              </w:rPr>
              <w:t>创项目</w:t>
            </w:r>
            <w:proofErr w:type="gramEnd"/>
            <w:r>
              <w:rPr>
                <w:rFonts w:ascii="宋体" w:hAnsi="宋体" w:cs="宋体"/>
                <w:color w:val="000000"/>
                <w:sz w:val="24"/>
              </w:rPr>
              <w:t>的流程，能够协助推进项目开展。获得社会工作奖B等，校级优秀团员，“优秀学生”称号，世界机器人大赛BIC</w:t>
            </w:r>
            <w:proofErr w:type="gramStart"/>
            <w:r>
              <w:rPr>
                <w:rFonts w:ascii="宋体" w:hAnsi="宋体" w:cs="宋体"/>
                <w:color w:val="000000"/>
                <w:sz w:val="24"/>
              </w:rPr>
              <w:t>脑控大赛技能赛</w:t>
            </w:r>
            <w:proofErr w:type="gramEnd"/>
            <w:r>
              <w:rPr>
                <w:rFonts w:ascii="宋体" w:hAnsi="宋体" w:cs="宋体"/>
                <w:color w:val="000000"/>
                <w:sz w:val="24"/>
              </w:rPr>
              <w:t>三等奖。</w:t>
            </w:r>
          </w:p>
        </w:tc>
      </w:tr>
    </w:tbl>
    <w:p w14:paraId="62F7295E" w14:textId="77777777" w:rsidR="009907C0" w:rsidRDefault="00000000">
      <w:pPr>
        <w:spacing w:before="312" w:after="156" w:line="300" w:lineRule="auto"/>
        <w:ind w:rightChars="-244" w:right="-512"/>
        <w:rPr>
          <w:b/>
          <w:sz w:val="32"/>
          <w:szCs w:val="32"/>
        </w:rPr>
      </w:pPr>
      <w:r>
        <w:rPr>
          <w:rFonts w:hint="eastAsia"/>
          <w:b/>
          <w:sz w:val="32"/>
          <w:szCs w:val="32"/>
        </w:rPr>
        <w:t>三、项目研究内容</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81"/>
        <w:gridCol w:w="9458"/>
      </w:tblGrid>
      <w:tr w:rsidR="009907C0" w14:paraId="62F72961" w14:textId="77777777">
        <w:trPr>
          <w:trHeight w:val="599"/>
          <w:jc w:val="center"/>
        </w:trPr>
        <w:tc>
          <w:tcPr>
            <w:tcW w:w="481" w:type="dxa"/>
            <w:vMerge w:val="restart"/>
            <w:vAlign w:val="center"/>
          </w:tcPr>
          <w:p w14:paraId="62F7295F" w14:textId="77777777" w:rsidR="009907C0" w:rsidRDefault="00000000">
            <w:pPr>
              <w:spacing w:line="300" w:lineRule="auto"/>
              <w:rPr>
                <w:b/>
                <w:sz w:val="24"/>
              </w:rPr>
            </w:pPr>
            <w:r>
              <w:rPr>
                <w:rFonts w:hint="eastAsia"/>
                <w:b/>
                <w:sz w:val="24"/>
                <w:szCs w:val="22"/>
              </w:rPr>
              <w:t>项</w:t>
            </w:r>
            <w:r>
              <w:rPr>
                <w:rFonts w:hint="eastAsia"/>
                <w:b/>
                <w:sz w:val="24"/>
                <w:szCs w:val="22"/>
              </w:rPr>
              <w:lastRenderedPageBreak/>
              <w:t>目研究的主要内容及目标</w:t>
            </w:r>
          </w:p>
        </w:tc>
        <w:tc>
          <w:tcPr>
            <w:tcW w:w="9458" w:type="dxa"/>
          </w:tcPr>
          <w:p w14:paraId="62F72960" w14:textId="77777777" w:rsidR="009907C0" w:rsidRDefault="00000000">
            <w:pPr>
              <w:spacing w:line="300" w:lineRule="auto"/>
              <w:rPr>
                <w:rFonts w:ascii="仿宋_GB2312" w:eastAsia="仿宋_GB2312" w:hAnsi="宋体" w:hint="eastAsia"/>
                <w:sz w:val="24"/>
              </w:rPr>
            </w:pPr>
            <w:r>
              <w:rPr>
                <w:rFonts w:ascii="仿宋_GB2312" w:eastAsia="仿宋_GB2312" w:hAnsi="宋体" w:hint="eastAsia"/>
                <w:sz w:val="24"/>
              </w:rPr>
              <w:lastRenderedPageBreak/>
              <w:t>（主要研究内容，重点和难点，研究思路和方法等）</w:t>
            </w:r>
          </w:p>
        </w:tc>
      </w:tr>
      <w:tr w:rsidR="009907C0" w14:paraId="62F72986" w14:textId="77777777">
        <w:trPr>
          <w:trHeight w:val="3386"/>
          <w:jc w:val="center"/>
        </w:trPr>
        <w:tc>
          <w:tcPr>
            <w:tcW w:w="481" w:type="dxa"/>
            <w:vMerge/>
            <w:vAlign w:val="center"/>
          </w:tcPr>
          <w:p w14:paraId="62F72962" w14:textId="77777777" w:rsidR="009907C0" w:rsidRDefault="009907C0">
            <w:pPr>
              <w:spacing w:line="300" w:lineRule="auto"/>
              <w:rPr>
                <w:b/>
                <w:sz w:val="24"/>
                <w:szCs w:val="22"/>
              </w:rPr>
            </w:pPr>
          </w:p>
        </w:tc>
        <w:tc>
          <w:tcPr>
            <w:tcW w:w="9458" w:type="dxa"/>
          </w:tcPr>
          <w:p w14:paraId="62F72963" w14:textId="77777777" w:rsidR="009907C0" w:rsidRDefault="00000000">
            <w:pPr>
              <w:spacing w:line="300" w:lineRule="auto"/>
            </w:pPr>
            <w:r>
              <w:rPr>
                <w:sz w:val="24"/>
              </w:rPr>
              <w:t>3.1</w:t>
            </w:r>
            <w:r>
              <w:rPr>
                <w:sz w:val="24"/>
              </w:rPr>
              <w:t>主要研究内容</w:t>
            </w:r>
          </w:p>
          <w:p w14:paraId="62F72964" w14:textId="77777777" w:rsidR="009907C0" w:rsidRDefault="00000000">
            <w:pPr>
              <w:spacing w:line="300" w:lineRule="auto"/>
              <w:ind w:firstLineChars="200" w:firstLine="480"/>
              <w:rPr>
                <w:sz w:val="24"/>
              </w:rPr>
            </w:pPr>
            <w:r>
              <w:rPr>
                <w:sz w:val="24"/>
              </w:rPr>
              <w:t>本实验的主要研究内容是构建一种适用于大分子药物递送的可注射型凝胶体系，重点在于通过刺激响应机制实现药物的靶向、可控释放。为了有效递送化疗药物</w:t>
            </w:r>
            <w:r>
              <w:rPr>
                <w:sz w:val="24"/>
              </w:rPr>
              <w:t>DOX</w:t>
            </w:r>
            <w:r>
              <w:rPr>
                <w:sz w:val="24"/>
              </w:rPr>
              <w:t>，该体系采用</w:t>
            </w:r>
            <w:r>
              <w:rPr>
                <w:sz w:val="24"/>
              </w:rPr>
              <w:t>GSH</w:t>
            </w:r>
            <w:r>
              <w:rPr>
                <w:sz w:val="24"/>
              </w:rPr>
              <w:t>响应型和</w:t>
            </w:r>
            <w:r>
              <w:rPr>
                <w:sz w:val="24"/>
              </w:rPr>
              <w:t>MMP</w:t>
            </w:r>
            <w:r>
              <w:rPr>
                <w:sz w:val="24"/>
              </w:rPr>
              <w:t>响应型的双响应策略。通过查找相关文献，得到人体肿瘤细胞内的</w:t>
            </w:r>
            <w:r>
              <w:rPr>
                <w:sz w:val="24"/>
              </w:rPr>
              <w:t>GSH</w:t>
            </w:r>
            <w:r>
              <w:rPr>
                <w:sz w:val="24"/>
              </w:rPr>
              <w:t>和</w:t>
            </w:r>
            <w:r>
              <w:rPr>
                <w:sz w:val="24"/>
              </w:rPr>
              <w:t>MMP</w:t>
            </w:r>
            <w:r>
              <w:rPr>
                <w:sz w:val="24"/>
              </w:rPr>
              <w:t>浓度数据，对应的响应机制以及两者于凝胶体系的作用，并探索如何利用这些特性来优化药物释放和肿瘤靶向效果。</w:t>
            </w:r>
          </w:p>
          <w:p w14:paraId="62F72965" w14:textId="77777777" w:rsidR="009907C0" w:rsidRDefault="00000000">
            <w:pPr>
              <w:spacing w:line="300" w:lineRule="auto"/>
              <w:ind w:firstLineChars="200" w:firstLine="480"/>
              <w:rPr>
                <w:sz w:val="24"/>
              </w:rPr>
            </w:pPr>
            <w:r>
              <w:rPr>
                <w:rFonts w:hint="eastAsia"/>
                <w:sz w:val="24"/>
              </w:rPr>
              <w:t>在实验中探索测定不同配比的明胶与透明质酸对凝胶体系的影响，调节载药水凝胶的组成和结构，以优化凝胶体系的稳定性，提高降解速率，使其在肿瘤环境中具备更好的靶向性和响应性。</w:t>
            </w:r>
          </w:p>
          <w:p w14:paraId="62F72966" w14:textId="77777777" w:rsidR="009907C0" w:rsidRDefault="00000000">
            <w:pPr>
              <w:spacing w:line="300" w:lineRule="auto"/>
              <w:ind w:firstLineChars="200" w:firstLine="480"/>
              <w:rPr>
                <w:sz w:val="24"/>
              </w:rPr>
            </w:pPr>
            <w:r>
              <w:rPr>
                <w:sz w:val="24"/>
              </w:rPr>
              <w:t>本实验最后合成了一种紫外光引发的</w:t>
            </w:r>
            <w:r>
              <w:rPr>
                <w:sz w:val="24"/>
              </w:rPr>
              <w:t>HAMA-GELMA</w:t>
            </w:r>
            <w:r>
              <w:rPr>
                <w:sz w:val="24"/>
              </w:rPr>
              <w:t>载药水凝胶，由于肿瘤环境具有基质金属蛋白酶（</w:t>
            </w:r>
            <w:r>
              <w:rPr>
                <w:sz w:val="24"/>
              </w:rPr>
              <w:t>MMP</w:t>
            </w:r>
            <w:r>
              <w:rPr>
                <w:sz w:val="24"/>
              </w:rPr>
              <w:t>）过度表达的特点，设计该载药水凝胶可在此环境下降解水凝胶中的明胶网络，使载药胶束释放，进一步</w:t>
            </w:r>
            <w:r>
              <w:rPr>
                <w:color w:val="000000"/>
                <w:sz w:val="24"/>
              </w:rPr>
              <w:t>实现</w:t>
            </w:r>
            <w:r>
              <w:rPr>
                <w:sz w:val="24"/>
              </w:rPr>
              <w:t>药物的靶向释放。</w:t>
            </w:r>
          </w:p>
          <w:p w14:paraId="62F72969" w14:textId="77777777" w:rsidR="009907C0" w:rsidRDefault="00000000">
            <w:pPr>
              <w:spacing w:beforeLines="100" w:before="312" w:line="300" w:lineRule="auto"/>
              <w:rPr>
                <w:shd w:val="clear" w:color="auto" w:fill="FFFF00"/>
              </w:rPr>
            </w:pPr>
            <w:r>
              <w:rPr>
                <w:sz w:val="24"/>
              </w:rPr>
              <w:t>3.2</w:t>
            </w:r>
            <w:r>
              <w:rPr>
                <w:sz w:val="24"/>
              </w:rPr>
              <w:t>研究思路和方法</w:t>
            </w:r>
          </w:p>
          <w:p w14:paraId="5ED401F2" w14:textId="77777777" w:rsidR="009907C0" w:rsidRDefault="00000000">
            <w:pPr>
              <w:spacing w:line="300" w:lineRule="auto"/>
              <w:ind w:leftChars="200" w:left="420"/>
            </w:pPr>
            <w:r>
              <w:rPr>
                <w:sz w:val="24"/>
              </w:rPr>
              <w:t>研究方法可分为以下几个板块：</w:t>
            </w:r>
          </w:p>
          <w:p w14:paraId="104894A4" w14:textId="77777777" w:rsidR="009907C0" w:rsidRDefault="00000000">
            <w:pPr>
              <w:spacing w:beforeLines="50" w:before="156" w:line="300" w:lineRule="auto"/>
              <w:rPr>
                <w:sz w:val="24"/>
              </w:rPr>
            </w:pPr>
            <w:r>
              <w:rPr>
                <w:rFonts w:hint="eastAsia"/>
                <w:sz w:val="24"/>
              </w:rPr>
              <w:t>3.2.1</w:t>
            </w:r>
            <w:proofErr w:type="gramStart"/>
            <w:r>
              <w:rPr>
                <w:sz w:val="24"/>
              </w:rPr>
              <w:t>两</w:t>
            </w:r>
            <w:proofErr w:type="gramEnd"/>
            <w:r>
              <w:rPr>
                <w:sz w:val="24"/>
              </w:rPr>
              <w:t>嵌段聚合物设计</w:t>
            </w:r>
          </w:p>
          <w:p w14:paraId="62F7296C" w14:textId="77777777" w:rsidR="009907C0" w:rsidRDefault="00000000">
            <w:pPr>
              <w:spacing w:line="300" w:lineRule="auto"/>
              <w:ind w:firstLineChars="200" w:firstLine="480"/>
              <w:rPr>
                <w:sz w:val="24"/>
              </w:rPr>
            </w:pPr>
            <w:r>
              <w:rPr>
                <w:sz w:val="24"/>
              </w:rPr>
              <w:t>选择具有</w:t>
            </w:r>
            <w:r>
              <w:rPr>
                <w:sz w:val="24"/>
              </w:rPr>
              <w:t>GSH</w:t>
            </w:r>
            <w:r>
              <w:rPr>
                <w:sz w:val="24"/>
              </w:rPr>
              <w:t>响应的两嵌段聚合物，如</w:t>
            </w:r>
            <w:r>
              <w:rPr>
                <w:sz w:val="24"/>
              </w:rPr>
              <w:t>PEG-SS-PLA</w:t>
            </w:r>
            <w:r>
              <w:rPr>
                <w:sz w:val="24"/>
              </w:rPr>
              <w:t>（聚乙二醇</w:t>
            </w:r>
            <w:r>
              <w:rPr>
                <w:sz w:val="24"/>
              </w:rPr>
              <w:t>-</w:t>
            </w:r>
            <w:r>
              <w:rPr>
                <w:sz w:val="24"/>
              </w:rPr>
              <w:t>二硫键</w:t>
            </w:r>
            <w:r>
              <w:rPr>
                <w:sz w:val="24"/>
              </w:rPr>
              <w:t>-</w:t>
            </w:r>
            <w:r>
              <w:rPr>
                <w:sz w:val="24"/>
              </w:rPr>
              <w:t>聚乳酸）聚合物。该聚合物亲水性嵌段</w:t>
            </w:r>
            <w:r>
              <w:rPr>
                <w:sz w:val="24"/>
              </w:rPr>
              <w:t>PEG</w:t>
            </w:r>
            <w:r>
              <w:rPr>
                <w:sz w:val="24"/>
              </w:rPr>
              <w:t>生物相容性良好，延长胶束体内循环时间末端羟基可修饰；疏水性嵌段</w:t>
            </w:r>
            <w:r>
              <w:rPr>
                <w:sz w:val="24"/>
              </w:rPr>
              <w:t>PLA</w:t>
            </w:r>
            <w:r>
              <w:rPr>
                <w:sz w:val="24"/>
              </w:rPr>
              <w:t>也具备生物相容性良好的特点，此外，可降解免疫原性低的微生物。由于肿瘤细胞内的</w:t>
            </w:r>
            <w:r>
              <w:rPr>
                <w:sz w:val="24"/>
              </w:rPr>
              <w:t>GSH</w:t>
            </w:r>
            <w:r>
              <w:rPr>
                <w:sz w:val="24"/>
              </w:rPr>
              <w:t>浓度高于正常细胞，二硫键在</w:t>
            </w:r>
            <w:r>
              <w:rPr>
                <w:sz w:val="24"/>
              </w:rPr>
              <w:t>GSH</w:t>
            </w:r>
            <w:r>
              <w:rPr>
                <w:sz w:val="24"/>
              </w:rPr>
              <w:t>的作用下还原断裂，释放载药胶束以达到肿瘤微环境的特异性释放。</w:t>
            </w:r>
          </w:p>
          <w:p w14:paraId="557D5262" w14:textId="77777777" w:rsidR="009907C0" w:rsidRDefault="00000000">
            <w:pPr>
              <w:spacing w:beforeLines="50" w:before="156" w:line="300" w:lineRule="auto"/>
              <w:rPr>
                <w:sz w:val="24"/>
              </w:rPr>
            </w:pPr>
            <w:r>
              <w:rPr>
                <w:rFonts w:hint="eastAsia"/>
                <w:sz w:val="24"/>
              </w:rPr>
              <w:t>3.2.2</w:t>
            </w:r>
            <w:r>
              <w:rPr>
                <w:sz w:val="24"/>
              </w:rPr>
              <w:t>载药胶束的制备</w:t>
            </w:r>
          </w:p>
          <w:p w14:paraId="62F7296D" w14:textId="77777777" w:rsidR="009907C0" w:rsidRDefault="00000000">
            <w:pPr>
              <w:spacing w:line="300" w:lineRule="auto"/>
              <w:ind w:firstLineChars="200" w:firstLine="480"/>
            </w:pPr>
            <w:r>
              <w:rPr>
                <w:sz w:val="24"/>
              </w:rPr>
              <w:t>先以两条路径合成。其一，取反应物</w:t>
            </w:r>
            <w:r>
              <w:rPr>
                <w:sz w:val="24"/>
              </w:rPr>
              <w:t>D,L-</w:t>
            </w:r>
            <w:proofErr w:type="gramStart"/>
            <w:r>
              <w:rPr>
                <w:sz w:val="24"/>
              </w:rPr>
              <w:t>丙交酯</w:t>
            </w:r>
            <w:proofErr w:type="gramEnd"/>
            <w:r>
              <w:rPr>
                <w:sz w:val="24"/>
              </w:rPr>
              <w:t>和乳酸，在辛酸亚锡催化下，以</w:t>
            </w:r>
            <w:r>
              <w:rPr>
                <w:sz w:val="24"/>
              </w:rPr>
              <w:t>130</w:t>
            </w:r>
            <w:r>
              <w:rPr>
                <w:sz w:val="24"/>
              </w:rPr>
              <w:t>摄氏度反应温度合成</w:t>
            </w:r>
            <w:r>
              <w:rPr>
                <w:sz w:val="24"/>
              </w:rPr>
              <w:t>PLA-COOH</w:t>
            </w:r>
            <w:r>
              <w:rPr>
                <w:sz w:val="24"/>
              </w:rPr>
              <w:t>。接着，在</w:t>
            </w:r>
            <w:r>
              <w:rPr>
                <w:sz w:val="24"/>
              </w:rPr>
              <w:t>DCC/NHS</w:t>
            </w:r>
            <w:r>
              <w:rPr>
                <w:sz w:val="24"/>
              </w:rPr>
              <w:t>催化的条件下，引入二硫键，合成</w:t>
            </w:r>
            <w:r>
              <w:rPr>
                <w:sz w:val="24"/>
              </w:rPr>
              <w:t>PLA-SS-NH</w:t>
            </w:r>
            <w:r>
              <w:rPr>
                <w:sz w:val="24"/>
                <w:vertAlign w:val="subscript"/>
              </w:rPr>
              <w:t>2</w:t>
            </w:r>
            <w:r>
              <w:rPr>
                <w:sz w:val="24"/>
              </w:rPr>
              <w:t>，使该聚合物具备</w:t>
            </w:r>
            <w:r>
              <w:rPr>
                <w:sz w:val="24"/>
              </w:rPr>
              <w:t>GSH</w:t>
            </w:r>
            <w:r>
              <w:rPr>
                <w:sz w:val="24"/>
              </w:rPr>
              <w:t>响应性。其二，</w:t>
            </w:r>
            <w:proofErr w:type="spellStart"/>
            <w:r>
              <w:rPr>
                <w:sz w:val="24"/>
              </w:rPr>
              <w:t>mPEG</w:t>
            </w:r>
            <w:proofErr w:type="spellEnd"/>
            <w:r>
              <w:rPr>
                <w:sz w:val="24"/>
              </w:rPr>
              <w:t>与丁二酸酐在</w:t>
            </w:r>
            <w:r>
              <w:rPr>
                <w:sz w:val="24"/>
              </w:rPr>
              <w:t>DMAP</w:t>
            </w:r>
            <w:r>
              <w:rPr>
                <w:sz w:val="24"/>
              </w:rPr>
              <w:t>作催化剂的条件下反应，生成带有</w:t>
            </w:r>
            <w:proofErr w:type="gramStart"/>
            <w:r>
              <w:rPr>
                <w:sz w:val="24"/>
              </w:rPr>
              <w:t>羧基端基的</w:t>
            </w:r>
            <w:proofErr w:type="spellStart"/>
            <w:proofErr w:type="gramEnd"/>
            <w:r>
              <w:rPr>
                <w:sz w:val="24"/>
              </w:rPr>
              <w:t>mPEG</w:t>
            </w:r>
            <w:proofErr w:type="spellEnd"/>
            <w:r>
              <w:rPr>
                <w:sz w:val="24"/>
              </w:rPr>
              <w:t>-COOH</w:t>
            </w:r>
            <w:r>
              <w:rPr>
                <w:sz w:val="24"/>
              </w:rPr>
              <w:t>。最后，带有氨基的聚乳酸</w:t>
            </w:r>
            <w:r>
              <w:rPr>
                <w:sz w:val="24"/>
              </w:rPr>
              <w:t>PLA</w:t>
            </w:r>
            <w:r>
              <w:rPr>
                <w:sz w:val="24"/>
              </w:rPr>
              <w:t>的部分通过缩合反应与带</w:t>
            </w:r>
            <w:proofErr w:type="gramStart"/>
            <w:r>
              <w:rPr>
                <w:sz w:val="24"/>
              </w:rPr>
              <w:t>羧基端基的</w:t>
            </w:r>
            <w:proofErr w:type="gramEnd"/>
            <w:r>
              <w:rPr>
                <w:sz w:val="24"/>
              </w:rPr>
              <w:t>PEG</w:t>
            </w:r>
            <w:r>
              <w:rPr>
                <w:sz w:val="24"/>
              </w:rPr>
              <w:t>发生连接，生成两嵌段聚合物</w:t>
            </w:r>
            <w:r>
              <w:rPr>
                <w:sz w:val="24"/>
              </w:rPr>
              <w:t>PEG-SS-PLA</w:t>
            </w:r>
            <w:r>
              <w:rPr>
                <w:sz w:val="24"/>
              </w:rPr>
              <w:t>。这一聚合物通过自组装形成胶束结构，这些胶束可用于承载抗肿瘤药物</w:t>
            </w:r>
            <w:r>
              <w:rPr>
                <w:sz w:val="24"/>
              </w:rPr>
              <w:t>DOX</w:t>
            </w:r>
            <w:r>
              <w:rPr>
                <w:sz w:val="24"/>
              </w:rPr>
              <w:t>，</w:t>
            </w:r>
            <w:r>
              <w:rPr>
                <w:sz w:val="24"/>
              </w:rPr>
              <w:t>DOX</w:t>
            </w:r>
            <w:r>
              <w:rPr>
                <w:sz w:val="24"/>
              </w:rPr>
              <w:t>分子嵌入到自组装形成的胶束的疏水核心中，实现药物的负载。</w:t>
            </w:r>
          </w:p>
          <w:p w14:paraId="62F7296E" w14:textId="77777777" w:rsidR="009907C0" w:rsidRDefault="004F7439">
            <w:pPr>
              <w:spacing w:line="300" w:lineRule="auto"/>
            </w:pPr>
            <w:r>
              <w:lastRenderedPageBreak/>
              <w:pict w14:anchorId="3CE13FF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descript" style="width:462pt;height:268.2pt">
                  <v:imagedata r:id="rId6" o:title="descript"/>
                </v:shape>
              </w:pict>
            </w:r>
          </w:p>
          <w:p w14:paraId="28FA2FCC" w14:textId="77777777" w:rsidR="009907C0" w:rsidRDefault="00000000">
            <w:pPr>
              <w:spacing w:beforeLines="50" w:before="156" w:line="300" w:lineRule="auto"/>
              <w:rPr>
                <w:sz w:val="24"/>
              </w:rPr>
            </w:pPr>
            <w:r>
              <w:rPr>
                <w:rFonts w:hint="eastAsia"/>
                <w:sz w:val="24"/>
              </w:rPr>
              <w:t>3.2.3</w:t>
            </w:r>
            <w:r>
              <w:rPr>
                <w:sz w:val="24"/>
              </w:rPr>
              <w:t>载药水凝胶体系制备</w:t>
            </w:r>
          </w:p>
          <w:p w14:paraId="62F72970" w14:textId="77777777" w:rsidR="009907C0" w:rsidRDefault="00000000">
            <w:pPr>
              <w:spacing w:line="300" w:lineRule="auto"/>
              <w:ind w:firstLineChars="200" w:firstLine="480"/>
            </w:pPr>
            <w:r>
              <w:rPr>
                <w:sz w:val="24"/>
              </w:rPr>
              <w:t>构建具备</w:t>
            </w:r>
            <w:r>
              <w:rPr>
                <w:sz w:val="24"/>
              </w:rPr>
              <w:t>MMP</w:t>
            </w:r>
            <w:r>
              <w:rPr>
                <w:sz w:val="24"/>
              </w:rPr>
              <w:t>响应性（如</w:t>
            </w:r>
            <w:r>
              <w:rPr>
                <w:sz w:val="24"/>
              </w:rPr>
              <w:t>MMP-2</w:t>
            </w:r>
            <w:r>
              <w:rPr>
                <w:sz w:val="24"/>
              </w:rPr>
              <w:t>、</w:t>
            </w:r>
            <w:r>
              <w:rPr>
                <w:sz w:val="24"/>
              </w:rPr>
              <w:t>MMP-9</w:t>
            </w:r>
            <w:r>
              <w:rPr>
                <w:sz w:val="24"/>
              </w:rPr>
              <w:t>）的水凝胶体系。通过从生物体中提取透明质酸和明胶，再以甲基丙烯酸酐（</w:t>
            </w:r>
            <w:r>
              <w:rPr>
                <w:sz w:val="24"/>
              </w:rPr>
              <w:t>MA</w:t>
            </w:r>
            <w:r>
              <w:rPr>
                <w:sz w:val="24"/>
              </w:rPr>
              <w:t>）修饰透明质酸和明胶，携带</w:t>
            </w:r>
            <w:r>
              <w:rPr>
                <w:sz w:val="24"/>
              </w:rPr>
              <w:t>PEG-SS-PLA</w:t>
            </w:r>
            <w:r>
              <w:rPr>
                <w:sz w:val="24"/>
              </w:rPr>
              <w:t>胶束，形成紫外光引发的</w:t>
            </w:r>
            <w:r>
              <w:rPr>
                <w:sz w:val="24"/>
              </w:rPr>
              <w:t>HAMA-GELMA</w:t>
            </w:r>
            <w:r>
              <w:rPr>
                <w:sz w:val="24"/>
              </w:rPr>
              <w:t>载药水凝胶，</w:t>
            </w:r>
            <w:r>
              <w:rPr>
                <w:sz w:val="24"/>
              </w:rPr>
              <w:t>MMP</w:t>
            </w:r>
            <w:r>
              <w:rPr>
                <w:sz w:val="24"/>
              </w:rPr>
              <w:t>过度表达的肿瘤环境可降解水凝胶中的明胶网络，使载药胶束释放。</w:t>
            </w:r>
          </w:p>
          <w:p w14:paraId="62F72972" w14:textId="77777777" w:rsidR="009907C0" w:rsidRDefault="004F7439">
            <w:pPr>
              <w:spacing w:line="300" w:lineRule="auto"/>
            </w:pPr>
            <w:r>
              <w:pict w14:anchorId="2978CC76">
                <v:shape id="_x0000_i1026" type="#_x0000_t75" alt="descript" style="width:462pt;height:261pt">
                  <v:imagedata r:id="rId7" o:title="descript"/>
                </v:shape>
              </w:pict>
            </w:r>
          </w:p>
          <w:p w14:paraId="0934B5F1" w14:textId="77777777" w:rsidR="009907C0" w:rsidRDefault="00000000">
            <w:pPr>
              <w:spacing w:beforeLines="50" w:before="156" w:line="300" w:lineRule="auto"/>
              <w:rPr>
                <w:sz w:val="24"/>
              </w:rPr>
            </w:pPr>
            <w:r>
              <w:rPr>
                <w:rFonts w:hint="eastAsia"/>
                <w:sz w:val="24"/>
              </w:rPr>
              <w:t>3.2.4</w:t>
            </w:r>
            <w:r>
              <w:rPr>
                <w:sz w:val="24"/>
              </w:rPr>
              <w:t>药物释放机制</w:t>
            </w:r>
          </w:p>
          <w:p w14:paraId="62F72975" w14:textId="77777777" w:rsidR="009907C0" w:rsidRDefault="00000000">
            <w:pPr>
              <w:spacing w:line="300" w:lineRule="auto"/>
              <w:ind w:firstLineChars="200" w:firstLine="480"/>
            </w:pPr>
            <w:r>
              <w:rPr>
                <w:sz w:val="24"/>
              </w:rPr>
              <w:t>一旦水凝胶在肿瘤微环境中被</w:t>
            </w:r>
            <w:r>
              <w:rPr>
                <w:sz w:val="24"/>
              </w:rPr>
              <w:t>MMP</w:t>
            </w:r>
            <w:r>
              <w:rPr>
                <w:sz w:val="24"/>
              </w:rPr>
              <w:t>降解，载药的</w:t>
            </w:r>
            <w:r>
              <w:rPr>
                <w:sz w:val="24"/>
              </w:rPr>
              <w:t>PEG-SS-PLA</w:t>
            </w:r>
            <w:r>
              <w:rPr>
                <w:sz w:val="24"/>
              </w:rPr>
              <w:t>胶束逐渐从水凝胶中释放，并通过胞吞作用进入细胞内部。在肿瘤细胞内，</w:t>
            </w:r>
            <w:r>
              <w:rPr>
                <w:sz w:val="24"/>
              </w:rPr>
              <w:t>GSH</w:t>
            </w:r>
            <w:r>
              <w:rPr>
                <w:sz w:val="24"/>
              </w:rPr>
              <w:t>将</w:t>
            </w:r>
            <w:r>
              <w:rPr>
                <w:sz w:val="24"/>
              </w:rPr>
              <w:t>PEG-SS-PLA</w:t>
            </w:r>
            <w:r>
              <w:rPr>
                <w:sz w:val="24"/>
              </w:rPr>
              <w:t>的二硫键还</w:t>
            </w:r>
            <w:r>
              <w:rPr>
                <w:sz w:val="24"/>
              </w:rPr>
              <w:lastRenderedPageBreak/>
              <w:t>原断裂，从而释放</w:t>
            </w:r>
            <w:r>
              <w:rPr>
                <w:sz w:val="24"/>
              </w:rPr>
              <w:t>DOX</w:t>
            </w:r>
            <w:r>
              <w:rPr>
                <w:sz w:val="24"/>
              </w:rPr>
              <w:t>，实现药物的靶向释放。</w:t>
            </w:r>
          </w:p>
          <w:p w14:paraId="62F72976" w14:textId="77777777" w:rsidR="009907C0" w:rsidRDefault="00000000">
            <w:pPr>
              <w:spacing w:beforeLines="100" w:before="312" w:line="300" w:lineRule="auto"/>
            </w:pPr>
            <w:r>
              <w:rPr>
                <w:rFonts w:hint="eastAsia"/>
                <w:sz w:val="24"/>
              </w:rPr>
              <w:t>3.3</w:t>
            </w:r>
            <w:r>
              <w:rPr>
                <w:sz w:val="24"/>
              </w:rPr>
              <w:t>研究重点</w:t>
            </w:r>
          </w:p>
          <w:p w14:paraId="62F72979" w14:textId="77777777" w:rsidR="009907C0" w:rsidRDefault="00000000">
            <w:pPr>
              <w:spacing w:line="300" w:lineRule="auto"/>
              <w:ind w:firstLineChars="200" w:firstLine="480"/>
              <w:rPr>
                <w:sz w:val="24"/>
              </w:rPr>
            </w:pPr>
            <w:r>
              <w:rPr>
                <w:sz w:val="24"/>
              </w:rPr>
              <w:t>结合肿瘤细胞</w:t>
            </w:r>
            <w:r>
              <w:rPr>
                <w:sz w:val="24"/>
              </w:rPr>
              <w:t>GSH</w:t>
            </w:r>
            <w:proofErr w:type="gramStart"/>
            <w:r>
              <w:rPr>
                <w:sz w:val="24"/>
              </w:rPr>
              <w:t>高表达</w:t>
            </w:r>
            <w:proofErr w:type="gramEnd"/>
            <w:r>
              <w:rPr>
                <w:sz w:val="24"/>
              </w:rPr>
              <w:t>和肿瘤微环境中</w:t>
            </w:r>
            <w:r>
              <w:rPr>
                <w:sz w:val="24"/>
              </w:rPr>
              <w:t>MMP</w:t>
            </w:r>
            <w:proofErr w:type="gramStart"/>
            <w:r>
              <w:rPr>
                <w:sz w:val="24"/>
              </w:rPr>
              <w:t>高表达</w:t>
            </w:r>
            <w:proofErr w:type="gramEnd"/>
            <w:r>
              <w:rPr>
                <w:sz w:val="24"/>
              </w:rPr>
              <w:t>的特性，构建具有双重响应特性的药物递送</w:t>
            </w:r>
            <w:r>
              <w:rPr>
                <w:sz w:val="24"/>
              </w:rPr>
              <w:t>HAMA-GELMA</w:t>
            </w:r>
            <w:r>
              <w:rPr>
                <w:sz w:val="24"/>
              </w:rPr>
              <w:t>凝胶体系。这一体系要不仅可以实现肿瘤部位的靶</w:t>
            </w:r>
            <w:proofErr w:type="gramStart"/>
            <w:r>
              <w:rPr>
                <w:sz w:val="24"/>
              </w:rPr>
              <w:t>向药物</w:t>
            </w:r>
            <w:proofErr w:type="gramEnd"/>
            <w:r>
              <w:rPr>
                <w:sz w:val="24"/>
              </w:rPr>
              <w:t>特异性释放，同时要能够保证药物释放的时效性，还要满足在体内具有良好的生物相容性、稳定性和注射性。</w:t>
            </w:r>
          </w:p>
          <w:p w14:paraId="62F7297A" w14:textId="77777777" w:rsidR="009907C0" w:rsidRDefault="00000000">
            <w:pPr>
              <w:spacing w:beforeLines="100" w:before="312" w:line="300" w:lineRule="auto"/>
              <w:rPr>
                <w:sz w:val="24"/>
              </w:rPr>
            </w:pPr>
            <w:r>
              <w:rPr>
                <w:sz w:val="24"/>
              </w:rPr>
              <w:t>3.4</w:t>
            </w:r>
            <w:r>
              <w:rPr>
                <w:sz w:val="24"/>
              </w:rPr>
              <w:t>研究难点</w:t>
            </w:r>
          </w:p>
          <w:p w14:paraId="0CE368FF" w14:textId="77777777" w:rsidR="009907C0" w:rsidRDefault="00000000">
            <w:pPr>
              <w:spacing w:line="300" w:lineRule="auto"/>
              <w:ind w:firstLineChars="200" w:firstLine="480"/>
              <w:rPr>
                <w:sz w:val="24"/>
              </w:rPr>
            </w:pPr>
            <w:r>
              <w:rPr>
                <w:rFonts w:hint="eastAsia"/>
                <w:sz w:val="24"/>
              </w:rPr>
              <w:t>（</w:t>
            </w:r>
            <w:r>
              <w:rPr>
                <w:rFonts w:hint="eastAsia"/>
                <w:sz w:val="24"/>
              </w:rPr>
              <w:t>1</w:t>
            </w:r>
            <w:r>
              <w:rPr>
                <w:rFonts w:hint="eastAsia"/>
                <w:sz w:val="24"/>
              </w:rPr>
              <w:t>）如何使胶束在凝胶中成胶的过程中保持结构稳定。</w:t>
            </w:r>
          </w:p>
          <w:p w14:paraId="3E6A7723" w14:textId="77777777" w:rsidR="009907C0" w:rsidRDefault="00000000">
            <w:pPr>
              <w:spacing w:beforeLines="50" w:before="156" w:line="300" w:lineRule="auto"/>
              <w:ind w:firstLineChars="200" w:firstLine="480"/>
              <w:rPr>
                <w:sz w:val="24"/>
              </w:rPr>
            </w:pPr>
            <w:r>
              <w:rPr>
                <w:rFonts w:hint="eastAsia"/>
                <w:sz w:val="24"/>
              </w:rPr>
              <w:t>（</w:t>
            </w:r>
            <w:r>
              <w:rPr>
                <w:rFonts w:hint="eastAsia"/>
                <w:sz w:val="24"/>
              </w:rPr>
              <w:t>2</w:t>
            </w:r>
            <w:r>
              <w:rPr>
                <w:rFonts w:hint="eastAsia"/>
                <w:sz w:val="24"/>
              </w:rPr>
              <w:t>）如何在不影响相关药物传递的响应机制下优化凝胶的内部结构以提高胶束的稳定性，特别是在液晶状态下，如何控制和利用这种结构来提高药物释放的稳定性和效率。</w:t>
            </w:r>
          </w:p>
          <w:p w14:paraId="62F7297D" w14:textId="77777777" w:rsidR="009907C0" w:rsidRDefault="00000000">
            <w:pPr>
              <w:spacing w:beforeLines="50" w:before="156" w:line="300" w:lineRule="auto"/>
              <w:ind w:firstLineChars="200" w:firstLine="480"/>
              <w:rPr>
                <w:sz w:val="24"/>
              </w:rPr>
            </w:pPr>
            <w:r>
              <w:rPr>
                <w:rFonts w:hint="eastAsia"/>
                <w:sz w:val="24"/>
              </w:rPr>
              <w:t>（</w:t>
            </w:r>
            <w:r>
              <w:rPr>
                <w:rFonts w:hint="eastAsia"/>
                <w:sz w:val="24"/>
              </w:rPr>
              <w:t>3</w:t>
            </w:r>
            <w:r>
              <w:rPr>
                <w:rFonts w:hint="eastAsia"/>
                <w:sz w:val="24"/>
              </w:rPr>
              <w:t>）设计体外细胞实验。</w:t>
            </w:r>
          </w:p>
          <w:p w14:paraId="62F72980" w14:textId="77777777" w:rsidR="009907C0" w:rsidRDefault="00000000">
            <w:pPr>
              <w:spacing w:beforeLines="100" w:before="312" w:line="300" w:lineRule="auto"/>
            </w:pPr>
            <w:r>
              <w:rPr>
                <w:sz w:val="24"/>
              </w:rPr>
              <w:t>3.5</w:t>
            </w:r>
            <w:r>
              <w:rPr>
                <w:sz w:val="24"/>
              </w:rPr>
              <w:t>研究目标：</w:t>
            </w:r>
          </w:p>
          <w:p w14:paraId="62F72981" w14:textId="77777777" w:rsidR="009907C0" w:rsidRDefault="00000000">
            <w:pPr>
              <w:spacing w:line="300" w:lineRule="auto"/>
              <w:ind w:firstLineChars="200" w:firstLine="480"/>
            </w:pPr>
            <w:r>
              <w:rPr>
                <w:rFonts w:hint="eastAsia"/>
                <w:sz w:val="24"/>
              </w:rPr>
              <w:t>（</w:t>
            </w:r>
            <w:r>
              <w:rPr>
                <w:rFonts w:hint="eastAsia"/>
                <w:sz w:val="24"/>
              </w:rPr>
              <w:t>1</w:t>
            </w:r>
            <w:r>
              <w:rPr>
                <w:rFonts w:hint="eastAsia"/>
                <w:sz w:val="24"/>
              </w:rPr>
              <w:t>）</w:t>
            </w:r>
            <w:r>
              <w:rPr>
                <w:sz w:val="24"/>
              </w:rPr>
              <w:t>利用肿瘤微环境的</w:t>
            </w:r>
            <w:r>
              <w:rPr>
                <w:sz w:val="24"/>
              </w:rPr>
              <w:t>GSH</w:t>
            </w:r>
            <w:r>
              <w:rPr>
                <w:sz w:val="24"/>
              </w:rPr>
              <w:t>和</w:t>
            </w:r>
            <w:r>
              <w:rPr>
                <w:sz w:val="24"/>
              </w:rPr>
              <w:t>MMP</w:t>
            </w:r>
            <w:proofErr w:type="gramStart"/>
            <w:r>
              <w:rPr>
                <w:sz w:val="24"/>
              </w:rPr>
              <w:t>高表达</w:t>
            </w:r>
            <w:proofErr w:type="gramEnd"/>
            <w:r>
              <w:rPr>
                <w:sz w:val="24"/>
              </w:rPr>
              <w:t>特性，实现药物在肿瘤部位的特异性释放，以增强疗效并减少对正常细胞的伤害。</w:t>
            </w:r>
          </w:p>
          <w:p w14:paraId="62F72982" w14:textId="77777777" w:rsidR="009907C0" w:rsidRDefault="00000000">
            <w:pPr>
              <w:spacing w:beforeLines="50" w:before="156" w:line="300" w:lineRule="auto"/>
              <w:ind w:firstLineChars="200" w:firstLine="480"/>
            </w:pPr>
            <w:r>
              <w:rPr>
                <w:rFonts w:hint="eastAsia"/>
                <w:sz w:val="24"/>
              </w:rPr>
              <w:t>（</w:t>
            </w:r>
            <w:r>
              <w:rPr>
                <w:rFonts w:hint="eastAsia"/>
                <w:sz w:val="24"/>
              </w:rPr>
              <w:t>2</w:t>
            </w:r>
            <w:r>
              <w:rPr>
                <w:rFonts w:hint="eastAsia"/>
                <w:sz w:val="24"/>
              </w:rPr>
              <w:t>）</w:t>
            </w:r>
            <w:r>
              <w:rPr>
                <w:sz w:val="24"/>
              </w:rPr>
              <w:t>通过</w:t>
            </w:r>
            <w:r>
              <w:rPr>
                <w:sz w:val="24"/>
              </w:rPr>
              <w:t>PEG-SS-PLA</w:t>
            </w:r>
            <w:r>
              <w:rPr>
                <w:sz w:val="24"/>
              </w:rPr>
              <w:t>胶束和</w:t>
            </w:r>
            <w:r>
              <w:rPr>
                <w:sz w:val="24"/>
              </w:rPr>
              <w:t>HAMA-GELMA</w:t>
            </w:r>
            <w:r>
              <w:rPr>
                <w:sz w:val="24"/>
              </w:rPr>
              <w:t>水凝胶的设计，最大化大分子药物在水凝胶中的负载量，确保持续且高效的药物释放。</w:t>
            </w:r>
          </w:p>
          <w:p w14:paraId="62F72983" w14:textId="77777777" w:rsidR="009907C0" w:rsidRDefault="00000000">
            <w:pPr>
              <w:spacing w:beforeLines="50" w:before="156" w:line="300" w:lineRule="auto"/>
              <w:ind w:firstLineChars="200" w:firstLine="480"/>
              <w:rPr>
                <w:sz w:val="24"/>
              </w:rPr>
            </w:pPr>
            <w:r>
              <w:rPr>
                <w:rFonts w:hint="eastAsia"/>
                <w:sz w:val="24"/>
              </w:rPr>
              <w:t>（</w:t>
            </w:r>
            <w:r>
              <w:rPr>
                <w:rFonts w:hint="eastAsia"/>
                <w:sz w:val="24"/>
              </w:rPr>
              <w:t>3</w:t>
            </w:r>
            <w:r>
              <w:rPr>
                <w:rFonts w:hint="eastAsia"/>
                <w:sz w:val="24"/>
              </w:rPr>
              <w:t>）</w:t>
            </w:r>
            <w:r>
              <w:rPr>
                <w:sz w:val="24"/>
              </w:rPr>
              <w:t>优化水凝胶和胶束的物理化学特性，以提高系统在体内的稳定性，确保注射性和生物相容性，为未来的临床应用打下基础。</w:t>
            </w:r>
          </w:p>
          <w:p w14:paraId="62F72985" w14:textId="77777777" w:rsidR="009907C0" w:rsidRDefault="00000000">
            <w:pPr>
              <w:spacing w:beforeLines="50" w:before="156" w:afterLines="100" w:after="312" w:line="300" w:lineRule="auto"/>
              <w:ind w:firstLineChars="200" w:firstLine="480"/>
            </w:pPr>
            <w:r>
              <w:rPr>
                <w:rFonts w:hint="eastAsia"/>
                <w:sz w:val="24"/>
              </w:rPr>
              <w:t>（</w:t>
            </w:r>
            <w:r>
              <w:rPr>
                <w:rFonts w:hint="eastAsia"/>
                <w:sz w:val="24"/>
              </w:rPr>
              <w:t>4</w:t>
            </w:r>
            <w:r>
              <w:rPr>
                <w:rFonts w:hint="eastAsia"/>
                <w:sz w:val="24"/>
              </w:rPr>
              <w:t>）</w:t>
            </w:r>
            <w:r>
              <w:rPr>
                <w:sz w:val="24"/>
              </w:rPr>
              <w:t>探究该凝胶体系未来包</w:t>
            </w:r>
            <w:proofErr w:type="gramStart"/>
            <w:r>
              <w:rPr>
                <w:sz w:val="24"/>
              </w:rPr>
              <w:t>载其他</w:t>
            </w:r>
            <w:proofErr w:type="gramEnd"/>
            <w:r>
              <w:rPr>
                <w:sz w:val="24"/>
              </w:rPr>
              <w:t>胶束的应用前景。</w:t>
            </w:r>
          </w:p>
        </w:tc>
      </w:tr>
      <w:tr w:rsidR="009907C0" w14:paraId="62F7298D" w14:textId="77777777">
        <w:trPr>
          <w:trHeight w:val="3675"/>
          <w:jc w:val="center"/>
        </w:trPr>
        <w:tc>
          <w:tcPr>
            <w:tcW w:w="481" w:type="dxa"/>
            <w:vAlign w:val="center"/>
          </w:tcPr>
          <w:p w14:paraId="62F72987" w14:textId="77777777" w:rsidR="009907C0" w:rsidRDefault="00000000">
            <w:pPr>
              <w:spacing w:line="300" w:lineRule="auto"/>
              <w:rPr>
                <w:b/>
                <w:sz w:val="24"/>
                <w:szCs w:val="22"/>
              </w:rPr>
            </w:pPr>
            <w:r>
              <w:rPr>
                <w:rFonts w:hint="eastAsia"/>
                <w:b/>
                <w:sz w:val="24"/>
                <w:szCs w:val="22"/>
              </w:rPr>
              <w:lastRenderedPageBreak/>
              <w:t>项目创新点</w:t>
            </w:r>
          </w:p>
        </w:tc>
        <w:tc>
          <w:tcPr>
            <w:tcW w:w="9458" w:type="dxa"/>
          </w:tcPr>
          <w:p w14:paraId="62F72989" w14:textId="77777777" w:rsidR="009907C0" w:rsidRDefault="00000000">
            <w:pPr>
              <w:spacing w:line="300" w:lineRule="auto"/>
              <w:ind w:firstLineChars="200" w:firstLine="480"/>
              <w:rPr>
                <w:sz w:val="24"/>
              </w:rPr>
            </w:pPr>
            <w:r>
              <w:rPr>
                <w:sz w:val="24"/>
              </w:rPr>
              <w:t>（</w:t>
            </w:r>
            <w:r>
              <w:rPr>
                <w:sz w:val="24"/>
              </w:rPr>
              <w:t>1</w:t>
            </w:r>
            <w:r>
              <w:rPr>
                <w:sz w:val="24"/>
              </w:rPr>
              <w:t>）双重响应机制的创新结合：该项目巧妙地结合了</w:t>
            </w:r>
            <w:r>
              <w:rPr>
                <w:sz w:val="24"/>
              </w:rPr>
              <w:t>GSH</w:t>
            </w:r>
            <w:r>
              <w:rPr>
                <w:sz w:val="24"/>
              </w:rPr>
              <w:t>响应型和</w:t>
            </w:r>
            <w:r>
              <w:rPr>
                <w:sz w:val="24"/>
              </w:rPr>
              <w:t>MMP</w:t>
            </w:r>
            <w:r>
              <w:rPr>
                <w:sz w:val="24"/>
              </w:rPr>
              <w:t>响应型的双响应策略，实现了药物在肿瘤微环境下的精准释放。</w:t>
            </w:r>
            <w:r>
              <w:rPr>
                <w:rFonts w:hint="eastAsia"/>
                <w:sz w:val="24"/>
              </w:rPr>
              <w:t>该双重响应机制提升了药物在肿瘤靶点的选择性释放效率，确保了药物释放的时效性</w:t>
            </w:r>
            <w:r>
              <w:rPr>
                <w:sz w:val="24"/>
              </w:rPr>
              <w:t>。</w:t>
            </w:r>
          </w:p>
          <w:p w14:paraId="62F7298B" w14:textId="77777777" w:rsidR="009907C0" w:rsidRDefault="00000000">
            <w:pPr>
              <w:spacing w:beforeLines="50" w:before="156" w:line="300" w:lineRule="auto"/>
              <w:ind w:firstLineChars="200" w:firstLine="480"/>
              <w:rPr>
                <w:sz w:val="24"/>
              </w:rPr>
            </w:pPr>
            <w:r>
              <w:rPr>
                <w:sz w:val="24"/>
              </w:rPr>
              <w:t>（</w:t>
            </w:r>
            <w:r>
              <w:rPr>
                <w:sz w:val="24"/>
              </w:rPr>
              <w:t>2</w:t>
            </w:r>
            <w:r>
              <w:rPr>
                <w:sz w:val="24"/>
              </w:rPr>
              <w:t>）新型载药水凝胶体系的构建：通过合成紫外光引发的</w:t>
            </w:r>
            <w:r>
              <w:rPr>
                <w:sz w:val="24"/>
              </w:rPr>
              <w:t>HAMA-GELMA</w:t>
            </w:r>
            <w:r>
              <w:rPr>
                <w:sz w:val="24"/>
              </w:rPr>
              <w:t>载药水凝胶，该项目构建了一种新型的可注射型凝胶体系。这种凝胶体系不仅具有良好的稳定性和注射性，还能在肿瘤环境中快速响应并释放药物。此外，该凝胶体系还具备较好的生物相容性，减少了对正常组织的损伤。</w:t>
            </w:r>
          </w:p>
          <w:p w14:paraId="62F7298C" w14:textId="77777777" w:rsidR="009907C0" w:rsidRDefault="00000000">
            <w:pPr>
              <w:spacing w:beforeLines="50" w:before="156" w:afterLines="100" w:after="312" w:line="300" w:lineRule="auto"/>
              <w:ind w:firstLineChars="200" w:firstLine="480"/>
              <w:rPr>
                <w:sz w:val="24"/>
              </w:rPr>
            </w:pPr>
            <w:r w:rsidRPr="004F7439">
              <w:rPr>
                <w:rFonts w:ascii="宋体" w:hAnsi="宋体"/>
                <w:sz w:val="24"/>
              </w:rPr>
              <w:t>（3）探</w:t>
            </w:r>
            <w:r>
              <w:rPr>
                <w:sz w:val="24"/>
              </w:rPr>
              <w:t>索未来应用前景的广泛性：该项目不仅关注当前的药物递送问题，还积极探索了该凝胶体系未来可能包</w:t>
            </w:r>
            <w:proofErr w:type="gramStart"/>
            <w:r>
              <w:rPr>
                <w:sz w:val="24"/>
              </w:rPr>
              <w:t>载其他</w:t>
            </w:r>
            <w:proofErr w:type="gramEnd"/>
            <w:r>
              <w:rPr>
                <w:sz w:val="24"/>
              </w:rPr>
              <w:t>胶束的应用前景，具有前瞻性。</w:t>
            </w:r>
          </w:p>
        </w:tc>
      </w:tr>
    </w:tbl>
    <w:p w14:paraId="1DE99ABE" w14:textId="77777777" w:rsidR="009907C0" w:rsidRDefault="009907C0">
      <w:pPr>
        <w:spacing w:before="312" w:after="156" w:line="300" w:lineRule="auto"/>
        <w:ind w:rightChars="-244" w:right="-512"/>
        <w:rPr>
          <w:b/>
          <w:sz w:val="32"/>
          <w:szCs w:val="32"/>
        </w:rPr>
      </w:pPr>
    </w:p>
    <w:p w14:paraId="62F7298E" w14:textId="77777777" w:rsidR="009907C0" w:rsidRDefault="00000000">
      <w:pPr>
        <w:spacing w:before="312" w:after="156" w:line="300" w:lineRule="auto"/>
        <w:ind w:rightChars="-244" w:right="-512"/>
        <w:rPr>
          <w:b/>
          <w:sz w:val="32"/>
          <w:szCs w:val="32"/>
        </w:rPr>
      </w:pPr>
      <w:r>
        <w:rPr>
          <w:rFonts w:hint="eastAsia"/>
          <w:b/>
          <w:sz w:val="32"/>
          <w:szCs w:val="32"/>
        </w:rPr>
        <w:lastRenderedPageBreak/>
        <w:t>四、项目进度安排</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81"/>
        <w:gridCol w:w="9458"/>
      </w:tblGrid>
      <w:tr w:rsidR="009907C0" w14:paraId="62F72991" w14:textId="77777777">
        <w:trPr>
          <w:trHeight w:val="881"/>
          <w:jc w:val="center"/>
        </w:trPr>
        <w:tc>
          <w:tcPr>
            <w:tcW w:w="481" w:type="dxa"/>
            <w:vMerge w:val="restart"/>
            <w:vAlign w:val="center"/>
          </w:tcPr>
          <w:p w14:paraId="62F7298F" w14:textId="77777777" w:rsidR="009907C0" w:rsidRDefault="00000000">
            <w:pPr>
              <w:spacing w:line="300" w:lineRule="auto"/>
              <w:rPr>
                <w:b/>
                <w:sz w:val="24"/>
              </w:rPr>
            </w:pPr>
            <w:r>
              <w:rPr>
                <w:rFonts w:hint="eastAsia"/>
                <w:b/>
                <w:sz w:val="24"/>
                <w:szCs w:val="22"/>
              </w:rPr>
              <w:t>项目进度安排</w:t>
            </w:r>
          </w:p>
        </w:tc>
        <w:tc>
          <w:tcPr>
            <w:tcW w:w="9458" w:type="dxa"/>
          </w:tcPr>
          <w:p w14:paraId="62F72990" w14:textId="77777777" w:rsidR="009907C0" w:rsidRDefault="00000000">
            <w:pPr>
              <w:spacing w:line="300" w:lineRule="auto"/>
              <w:rPr>
                <w:rFonts w:ascii="仿宋_GB2312" w:eastAsia="仿宋_GB2312" w:hAnsi="宋体" w:hint="eastAsia"/>
                <w:sz w:val="24"/>
              </w:rPr>
            </w:pPr>
            <w:r>
              <w:rPr>
                <w:rFonts w:ascii="仿宋_GB2312" w:eastAsia="仿宋_GB2312" w:hAnsi="宋体" w:hint="eastAsia"/>
                <w:sz w:val="24"/>
              </w:rPr>
              <w:t>（查阅资料、自主设计项目研究方案、实验研究、数据统计、处理与分析、研制开发、中期检查、填写结题表、撰写研究论文和总结报告、参加结题答辩和成果推广等）</w:t>
            </w:r>
          </w:p>
        </w:tc>
      </w:tr>
      <w:tr w:rsidR="009907C0" w14:paraId="62F7299F" w14:textId="77777777">
        <w:trPr>
          <w:trHeight w:val="2112"/>
          <w:jc w:val="center"/>
        </w:trPr>
        <w:tc>
          <w:tcPr>
            <w:tcW w:w="481" w:type="dxa"/>
            <w:vMerge/>
            <w:vAlign w:val="center"/>
          </w:tcPr>
          <w:p w14:paraId="62F72992" w14:textId="77777777" w:rsidR="009907C0" w:rsidRDefault="009907C0">
            <w:pPr>
              <w:spacing w:line="300" w:lineRule="auto"/>
              <w:rPr>
                <w:b/>
                <w:sz w:val="24"/>
                <w:szCs w:val="22"/>
              </w:rPr>
            </w:pPr>
          </w:p>
        </w:tc>
        <w:tc>
          <w:tcPr>
            <w:tcW w:w="9458" w:type="dxa"/>
          </w:tcPr>
          <w:p w14:paraId="62F72993" w14:textId="77777777" w:rsidR="009907C0" w:rsidRDefault="00000000">
            <w:pPr>
              <w:spacing w:line="300" w:lineRule="auto"/>
              <w:rPr>
                <w:sz w:val="24"/>
              </w:rPr>
            </w:pPr>
            <w:bookmarkStart w:id="0" w:name="_hidden:hidden1730084542510"/>
            <w:bookmarkEnd w:id="0"/>
            <w:r>
              <w:rPr>
                <w:sz w:val="24"/>
              </w:rPr>
              <w:t>2024.9-2024.11</w:t>
            </w:r>
            <w:r>
              <w:rPr>
                <w:rFonts w:hint="eastAsia"/>
                <w:sz w:val="24"/>
              </w:rPr>
              <w:t>：</w:t>
            </w:r>
            <w:r>
              <w:rPr>
                <w:sz w:val="24"/>
              </w:rPr>
              <w:t>查阅相关领域文献，了解课题组最新动态，掌握现有研究思路与最新研究成果</w:t>
            </w:r>
            <w:r>
              <w:rPr>
                <w:sz w:val="24"/>
              </w:rPr>
              <w:t>;</w:t>
            </w:r>
            <w:r>
              <w:rPr>
                <w:sz w:val="24"/>
              </w:rPr>
              <w:t>在导师的指导下，设计项目的初步研究思路和具体实验方案</w:t>
            </w:r>
            <w:r>
              <w:rPr>
                <w:rFonts w:hint="eastAsia"/>
                <w:sz w:val="24"/>
              </w:rPr>
              <w:t>；</w:t>
            </w:r>
          </w:p>
          <w:p w14:paraId="62F72994" w14:textId="77777777" w:rsidR="009907C0" w:rsidRDefault="00000000">
            <w:pPr>
              <w:spacing w:line="300" w:lineRule="auto"/>
              <w:rPr>
                <w:sz w:val="24"/>
              </w:rPr>
            </w:pPr>
            <w:r>
              <w:rPr>
                <w:sz w:val="24"/>
              </w:rPr>
              <w:t>2024.11-2025.0</w:t>
            </w:r>
            <w:r>
              <w:rPr>
                <w:rFonts w:hint="eastAsia"/>
                <w:sz w:val="24"/>
              </w:rPr>
              <w:t>5</w:t>
            </w:r>
            <w:r>
              <w:rPr>
                <w:rFonts w:hint="eastAsia"/>
                <w:sz w:val="24"/>
              </w:rPr>
              <w:t>：</w:t>
            </w:r>
            <w:r>
              <w:rPr>
                <w:sz w:val="24"/>
              </w:rPr>
              <w:t>进入实验室学习项目相关的实验和仪器操作，熟悉项目的研究模式和节奏</w:t>
            </w:r>
            <w:r>
              <w:rPr>
                <w:rFonts w:hint="eastAsia"/>
                <w:sz w:val="24"/>
              </w:rPr>
              <w:t>；</w:t>
            </w:r>
          </w:p>
          <w:p w14:paraId="62F72995" w14:textId="77777777" w:rsidR="009907C0" w:rsidRDefault="00000000">
            <w:pPr>
              <w:spacing w:line="300" w:lineRule="auto"/>
              <w:rPr>
                <w:sz w:val="24"/>
              </w:rPr>
            </w:pPr>
            <w:r>
              <w:rPr>
                <w:sz w:val="24"/>
              </w:rPr>
              <w:t>2025.05-2025.11</w:t>
            </w:r>
            <w:r>
              <w:rPr>
                <w:rFonts w:hint="eastAsia"/>
                <w:sz w:val="24"/>
              </w:rPr>
              <w:t>：</w:t>
            </w:r>
            <w:r>
              <w:rPr>
                <w:sz w:val="24"/>
              </w:rPr>
              <w:t>改进研究思路，尝试构造凝胶体系</w:t>
            </w:r>
            <w:r>
              <w:rPr>
                <w:rFonts w:hint="eastAsia"/>
                <w:sz w:val="24"/>
              </w:rPr>
              <w:t>，</w:t>
            </w:r>
            <w:r>
              <w:rPr>
                <w:sz w:val="24"/>
              </w:rPr>
              <w:t>对其化学性质加以研究</w:t>
            </w:r>
            <w:r>
              <w:rPr>
                <w:rFonts w:hint="eastAsia"/>
                <w:sz w:val="24"/>
              </w:rPr>
              <w:t>；</w:t>
            </w:r>
          </w:p>
          <w:p w14:paraId="62F72996" w14:textId="77777777" w:rsidR="009907C0" w:rsidRDefault="00000000">
            <w:pPr>
              <w:spacing w:line="300" w:lineRule="auto"/>
              <w:rPr>
                <w:sz w:val="24"/>
              </w:rPr>
            </w:pPr>
            <w:r>
              <w:rPr>
                <w:sz w:val="24"/>
              </w:rPr>
              <w:t>2025.11-2025.12</w:t>
            </w:r>
            <w:r>
              <w:rPr>
                <w:rFonts w:hint="eastAsia"/>
                <w:sz w:val="24"/>
              </w:rPr>
              <w:t>：</w:t>
            </w:r>
            <w:r>
              <w:rPr>
                <w:sz w:val="24"/>
              </w:rPr>
              <w:t>项目中期总结和思考，整理实验数据</w:t>
            </w:r>
            <w:r>
              <w:rPr>
                <w:rFonts w:hint="eastAsia"/>
                <w:sz w:val="24"/>
              </w:rPr>
              <w:t>；</w:t>
            </w:r>
          </w:p>
          <w:p w14:paraId="62F72997" w14:textId="77777777" w:rsidR="009907C0" w:rsidRDefault="00000000">
            <w:pPr>
              <w:spacing w:line="300" w:lineRule="auto"/>
              <w:rPr>
                <w:sz w:val="24"/>
              </w:rPr>
            </w:pPr>
            <w:r>
              <w:rPr>
                <w:sz w:val="24"/>
              </w:rPr>
              <w:t>2025.11-2026.03</w:t>
            </w:r>
            <w:r>
              <w:rPr>
                <w:rFonts w:hint="eastAsia"/>
                <w:sz w:val="24"/>
              </w:rPr>
              <w:t>：</w:t>
            </w:r>
            <w:r>
              <w:rPr>
                <w:sz w:val="24"/>
              </w:rPr>
              <w:t>探究新的体系的机理进一步完善和验证，撰写研究论文和结题报告</w:t>
            </w:r>
            <w:r>
              <w:rPr>
                <w:rFonts w:hint="eastAsia"/>
                <w:sz w:val="24"/>
              </w:rPr>
              <w:t>；</w:t>
            </w:r>
          </w:p>
          <w:p w14:paraId="62F7299E" w14:textId="77777777" w:rsidR="009907C0" w:rsidRDefault="00000000">
            <w:pPr>
              <w:spacing w:afterLines="100" w:after="312" w:line="300" w:lineRule="auto"/>
              <w:rPr>
                <w:sz w:val="24"/>
              </w:rPr>
            </w:pPr>
            <w:r>
              <w:rPr>
                <w:sz w:val="24"/>
              </w:rPr>
              <w:t>2025.03-2025.05</w:t>
            </w:r>
            <w:r>
              <w:rPr>
                <w:rFonts w:hint="eastAsia"/>
                <w:sz w:val="24"/>
              </w:rPr>
              <w:t>：</w:t>
            </w:r>
            <w:r>
              <w:rPr>
                <w:sz w:val="24"/>
              </w:rPr>
              <w:t>准备结题答辩，对项目成果进行推广，积极参加</w:t>
            </w:r>
            <w:r>
              <w:rPr>
                <w:rFonts w:hint="eastAsia"/>
                <w:sz w:val="24"/>
              </w:rPr>
              <w:t>“</w:t>
            </w:r>
            <w:r>
              <w:rPr>
                <w:sz w:val="24"/>
              </w:rPr>
              <w:t>互联网</w:t>
            </w:r>
            <w:r>
              <w:rPr>
                <w:sz w:val="24"/>
              </w:rPr>
              <w:t>+</w:t>
            </w:r>
            <w:r>
              <w:rPr>
                <w:rFonts w:hint="eastAsia"/>
                <w:sz w:val="24"/>
              </w:rPr>
              <w:t>”</w:t>
            </w:r>
            <w:r>
              <w:rPr>
                <w:sz w:val="24"/>
              </w:rPr>
              <w:t>和</w:t>
            </w:r>
            <w:r>
              <w:rPr>
                <w:rFonts w:hint="eastAsia"/>
                <w:sz w:val="24"/>
              </w:rPr>
              <w:t>“</w:t>
            </w:r>
            <w:r>
              <w:rPr>
                <w:sz w:val="24"/>
              </w:rPr>
              <w:t>挑战</w:t>
            </w:r>
            <w:r>
              <w:rPr>
                <w:rFonts w:hint="eastAsia"/>
                <w:sz w:val="24"/>
              </w:rPr>
              <w:t>者</w:t>
            </w:r>
            <w:r>
              <w:rPr>
                <w:sz w:val="24"/>
              </w:rPr>
              <w:t>杯</w:t>
            </w:r>
            <w:r>
              <w:rPr>
                <w:rFonts w:hint="eastAsia"/>
                <w:sz w:val="24"/>
              </w:rPr>
              <w:t>”</w:t>
            </w:r>
            <w:r>
              <w:rPr>
                <w:sz w:val="24"/>
              </w:rPr>
              <w:t>等大学生创新创业竞赛</w:t>
            </w:r>
            <w:r>
              <w:rPr>
                <w:rFonts w:hint="eastAsia"/>
                <w:sz w:val="24"/>
              </w:rPr>
              <w:t>。</w:t>
            </w:r>
          </w:p>
        </w:tc>
      </w:tr>
    </w:tbl>
    <w:p w14:paraId="62F729A0" w14:textId="77777777" w:rsidR="009907C0" w:rsidRDefault="00000000">
      <w:pPr>
        <w:spacing w:before="312" w:after="156" w:line="300" w:lineRule="auto"/>
        <w:ind w:rightChars="-244" w:right="-512"/>
        <w:rPr>
          <w:b/>
          <w:sz w:val="32"/>
          <w:szCs w:val="32"/>
        </w:rPr>
      </w:pPr>
      <w:r>
        <w:rPr>
          <w:rFonts w:hint="eastAsia"/>
          <w:b/>
          <w:sz w:val="32"/>
          <w:szCs w:val="32"/>
        </w:rPr>
        <w:t>五、项目实施条件</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81"/>
        <w:gridCol w:w="9458"/>
      </w:tblGrid>
      <w:tr w:rsidR="009907C0" w14:paraId="62F729A4" w14:textId="77777777">
        <w:trPr>
          <w:trHeight w:val="922"/>
          <w:jc w:val="center"/>
        </w:trPr>
        <w:tc>
          <w:tcPr>
            <w:tcW w:w="481" w:type="dxa"/>
            <w:vMerge w:val="restart"/>
            <w:vAlign w:val="center"/>
          </w:tcPr>
          <w:p w14:paraId="62F729A1" w14:textId="77777777" w:rsidR="009907C0" w:rsidRDefault="00000000">
            <w:pPr>
              <w:spacing w:line="300" w:lineRule="auto"/>
              <w:rPr>
                <w:b/>
                <w:sz w:val="24"/>
                <w:szCs w:val="22"/>
              </w:rPr>
            </w:pPr>
            <w:r>
              <w:rPr>
                <w:rFonts w:hint="eastAsia"/>
                <w:b/>
                <w:sz w:val="24"/>
                <w:szCs w:val="22"/>
              </w:rPr>
              <w:t>项目实施的条件</w:t>
            </w:r>
          </w:p>
          <w:p w14:paraId="62F729A2" w14:textId="77777777" w:rsidR="009907C0" w:rsidRDefault="00000000">
            <w:pPr>
              <w:spacing w:line="300" w:lineRule="auto"/>
              <w:rPr>
                <w:b/>
                <w:sz w:val="24"/>
              </w:rPr>
            </w:pPr>
            <w:r>
              <w:rPr>
                <w:rFonts w:hint="eastAsia"/>
                <w:b/>
                <w:sz w:val="24"/>
                <w:szCs w:val="22"/>
              </w:rPr>
              <w:t>和资源</w:t>
            </w:r>
          </w:p>
        </w:tc>
        <w:tc>
          <w:tcPr>
            <w:tcW w:w="9458" w:type="dxa"/>
          </w:tcPr>
          <w:p w14:paraId="62F729A3" w14:textId="77777777" w:rsidR="009907C0" w:rsidRDefault="00000000">
            <w:pPr>
              <w:spacing w:line="300" w:lineRule="auto"/>
              <w:rPr>
                <w:rFonts w:ascii="仿宋_GB2312" w:eastAsia="仿宋_GB2312" w:hAnsi="宋体" w:hint="eastAsia"/>
                <w:b/>
                <w:sz w:val="24"/>
              </w:rPr>
            </w:pPr>
            <w:r>
              <w:rPr>
                <w:rFonts w:ascii="仿宋_GB2312" w:eastAsia="仿宋_GB2312" w:hAnsi="宋体" w:hint="eastAsia"/>
                <w:sz w:val="24"/>
              </w:rPr>
              <w:t>（依托的科研或教学实验基地，实验仪器设备的配置，图书资料，实验或实践场地等项目实施的条件）</w:t>
            </w:r>
          </w:p>
        </w:tc>
      </w:tr>
      <w:tr w:rsidR="009907C0" w14:paraId="62F729B3" w14:textId="77777777">
        <w:trPr>
          <w:trHeight w:val="2805"/>
          <w:jc w:val="center"/>
        </w:trPr>
        <w:tc>
          <w:tcPr>
            <w:tcW w:w="481" w:type="dxa"/>
            <w:vMerge/>
            <w:vAlign w:val="center"/>
          </w:tcPr>
          <w:p w14:paraId="62F729A5" w14:textId="77777777" w:rsidR="009907C0" w:rsidRDefault="009907C0">
            <w:pPr>
              <w:spacing w:line="300" w:lineRule="auto"/>
              <w:rPr>
                <w:b/>
                <w:sz w:val="24"/>
                <w:szCs w:val="22"/>
              </w:rPr>
            </w:pPr>
          </w:p>
        </w:tc>
        <w:tc>
          <w:tcPr>
            <w:tcW w:w="9458" w:type="dxa"/>
          </w:tcPr>
          <w:p w14:paraId="62F729A6" w14:textId="77777777" w:rsidR="009907C0" w:rsidRDefault="00000000">
            <w:pPr>
              <w:spacing w:line="300" w:lineRule="auto"/>
              <w:rPr>
                <w:sz w:val="24"/>
              </w:rPr>
            </w:pPr>
            <w:r>
              <w:rPr>
                <w:rFonts w:hint="eastAsia"/>
                <w:sz w:val="24"/>
              </w:rPr>
              <w:t>纳米颗粒制备以及物性表征设备</w:t>
            </w:r>
          </w:p>
          <w:p w14:paraId="62F729A7" w14:textId="77777777" w:rsidR="009907C0" w:rsidRDefault="00000000">
            <w:pPr>
              <w:spacing w:line="300" w:lineRule="auto"/>
              <w:rPr>
                <w:sz w:val="24"/>
              </w:rPr>
            </w:pPr>
            <w:r>
              <w:rPr>
                <w:rFonts w:hint="eastAsia"/>
                <w:sz w:val="24"/>
              </w:rPr>
              <w:t>细胞实验设备</w:t>
            </w:r>
          </w:p>
          <w:p w14:paraId="62F729A8" w14:textId="77777777" w:rsidR="009907C0" w:rsidRDefault="00000000">
            <w:pPr>
              <w:spacing w:line="300" w:lineRule="auto"/>
              <w:rPr>
                <w:sz w:val="24"/>
              </w:rPr>
            </w:pPr>
            <w:r>
              <w:rPr>
                <w:rFonts w:hint="eastAsia"/>
                <w:sz w:val="24"/>
              </w:rPr>
              <w:t>Mettler Toledo pH</w:t>
            </w:r>
            <w:r>
              <w:rPr>
                <w:rFonts w:hint="eastAsia"/>
                <w:sz w:val="24"/>
              </w:rPr>
              <w:t>计</w:t>
            </w:r>
          </w:p>
          <w:p w14:paraId="62F729A9" w14:textId="77777777" w:rsidR="009907C0" w:rsidRDefault="00000000">
            <w:pPr>
              <w:spacing w:line="300" w:lineRule="auto"/>
              <w:rPr>
                <w:sz w:val="24"/>
              </w:rPr>
            </w:pPr>
            <w:r>
              <w:rPr>
                <w:rFonts w:hint="eastAsia"/>
                <w:sz w:val="24"/>
              </w:rPr>
              <w:t xml:space="preserve">UV-2450 </w:t>
            </w:r>
            <w:r>
              <w:rPr>
                <w:rFonts w:hint="eastAsia"/>
                <w:sz w:val="24"/>
              </w:rPr>
              <w:t>紫外</w:t>
            </w:r>
            <w:r>
              <w:rPr>
                <w:rFonts w:hint="eastAsia"/>
                <w:sz w:val="24"/>
              </w:rPr>
              <w:t>-</w:t>
            </w:r>
            <w:r>
              <w:rPr>
                <w:rFonts w:hint="eastAsia"/>
                <w:sz w:val="24"/>
              </w:rPr>
              <w:t>可见光谱仪</w:t>
            </w:r>
          </w:p>
          <w:p w14:paraId="62F729AA" w14:textId="77777777" w:rsidR="009907C0" w:rsidRDefault="00000000">
            <w:pPr>
              <w:spacing w:line="300" w:lineRule="auto"/>
              <w:rPr>
                <w:sz w:val="24"/>
              </w:rPr>
            </w:pPr>
            <w:r>
              <w:rPr>
                <w:rFonts w:hint="eastAsia"/>
                <w:sz w:val="24"/>
              </w:rPr>
              <w:t xml:space="preserve">UVGO </w:t>
            </w:r>
            <w:r>
              <w:rPr>
                <w:rFonts w:hint="eastAsia"/>
                <w:sz w:val="24"/>
              </w:rPr>
              <w:t>紫外灯</w:t>
            </w:r>
          </w:p>
          <w:p w14:paraId="62F729AB" w14:textId="77777777" w:rsidR="009907C0" w:rsidRDefault="00000000">
            <w:pPr>
              <w:spacing w:line="300" w:lineRule="auto"/>
              <w:rPr>
                <w:sz w:val="24"/>
              </w:rPr>
            </w:pPr>
            <w:r>
              <w:rPr>
                <w:rFonts w:hint="eastAsia"/>
                <w:sz w:val="24"/>
              </w:rPr>
              <w:t xml:space="preserve">Hitachi F-4500 </w:t>
            </w:r>
            <w:r>
              <w:rPr>
                <w:rFonts w:hint="eastAsia"/>
                <w:sz w:val="24"/>
              </w:rPr>
              <w:t>荧光光谱仪</w:t>
            </w:r>
          </w:p>
          <w:p w14:paraId="62F729AC" w14:textId="77777777" w:rsidR="009907C0" w:rsidRDefault="00000000">
            <w:pPr>
              <w:spacing w:line="300" w:lineRule="auto"/>
              <w:rPr>
                <w:sz w:val="24"/>
              </w:rPr>
            </w:pPr>
            <w:r>
              <w:rPr>
                <w:rFonts w:hint="eastAsia"/>
                <w:sz w:val="24"/>
              </w:rPr>
              <w:t xml:space="preserve">PerkinElmer LS55 </w:t>
            </w:r>
            <w:r>
              <w:rPr>
                <w:rFonts w:hint="eastAsia"/>
                <w:sz w:val="24"/>
              </w:rPr>
              <w:t>荧光光谱仪</w:t>
            </w:r>
          </w:p>
          <w:p w14:paraId="62F729AD" w14:textId="77777777" w:rsidR="009907C0" w:rsidRDefault="00000000">
            <w:pPr>
              <w:spacing w:line="300" w:lineRule="auto"/>
              <w:rPr>
                <w:sz w:val="24"/>
              </w:rPr>
            </w:pPr>
            <w:r>
              <w:rPr>
                <w:rFonts w:hint="eastAsia"/>
                <w:sz w:val="24"/>
              </w:rPr>
              <w:t>低温恒温槽</w:t>
            </w:r>
          </w:p>
          <w:p w14:paraId="62F729AE" w14:textId="77777777" w:rsidR="009907C0" w:rsidRDefault="00000000">
            <w:pPr>
              <w:spacing w:line="300" w:lineRule="auto"/>
              <w:rPr>
                <w:sz w:val="24"/>
              </w:rPr>
            </w:pPr>
            <w:r>
              <w:rPr>
                <w:rFonts w:hint="eastAsia"/>
                <w:sz w:val="24"/>
              </w:rPr>
              <w:t xml:space="preserve">Blue </w:t>
            </w:r>
            <w:proofErr w:type="spellStart"/>
            <w:r>
              <w:rPr>
                <w:rFonts w:hint="eastAsia"/>
                <w:sz w:val="24"/>
              </w:rPr>
              <w:t>pand</w:t>
            </w:r>
            <w:proofErr w:type="spellEnd"/>
            <w:r>
              <w:rPr>
                <w:rFonts w:hint="eastAsia"/>
                <w:sz w:val="24"/>
              </w:rPr>
              <w:t>恒温振荡器</w:t>
            </w:r>
          </w:p>
          <w:p w14:paraId="62F729AF" w14:textId="77777777" w:rsidR="009907C0" w:rsidRDefault="00000000">
            <w:pPr>
              <w:spacing w:line="300" w:lineRule="auto"/>
              <w:rPr>
                <w:sz w:val="24"/>
              </w:rPr>
            </w:pPr>
            <w:proofErr w:type="spellStart"/>
            <w:r>
              <w:rPr>
                <w:rFonts w:hint="eastAsia"/>
                <w:sz w:val="24"/>
              </w:rPr>
              <w:t>Mettlr</w:t>
            </w:r>
            <w:proofErr w:type="spellEnd"/>
            <w:r>
              <w:rPr>
                <w:rFonts w:hint="eastAsia"/>
                <w:sz w:val="24"/>
              </w:rPr>
              <w:t xml:space="preserve"> Toledo ME104</w:t>
            </w:r>
            <w:r>
              <w:rPr>
                <w:rFonts w:hint="eastAsia"/>
                <w:sz w:val="24"/>
              </w:rPr>
              <w:t>分析天平</w:t>
            </w:r>
          </w:p>
          <w:p w14:paraId="62F729B0" w14:textId="77777777" w:rsidR="009907C0" w:rsidRDefault="00000000">
            <w:pPr>
              <w:spacing w:line="300" w:lineRule="auto"/>
              <w:rPr>
                <w:sz w:val="24"/>
              </w:rPr>
            </w:pPr>
            <w:r>
              <w:rPr>
                <w:rFonts w:hint="eastAsia"/>
                <w:sz w:val="24"/>
              </w:rPr>
              <w:t>KQ-500VDV</w:t>
            </w:r>
            <w:r>
              <w:rPr>
                <w:rFonts w:hint="eastAsia"/>
                <w:sz w:val="24"/>
              </w:rPr>
              <w:t>型</w:t>
            </w:r>
            <w:r>
              <w:rPr>
                <w:rFonts w:hint="eastAsia"/>
                <w:sz w:val="24"/>
              </w:rPr>
              <w:t xml:space="preserve"> </w:t>
            </w:r>
            <w:r>
              <w:rPr>
                <w:rFonts w:hint="eastAsia"/>
                <w:sz w:val="24"/>
              </w:rPr>
              <w:t>双频数控超声波清洗器</w:t>
            </w:r>
          </w:p>
          <w:p w14:paraId="62F729B1" w14:textId="77777777" w:rsidR="009907C0" w:rsidRDefault="00000000">
            <w:pPr>
              <w:spacing w:line="300" w:lineRule="auto"/>
              <w:rPr>
                <w:sz w:val="24"/>
              </w:rPr>
            </w:pPr>
            <w:r>
              <w:rPr>
                <w:rFonts w:hint="eastAsia"/>
                <w:sz w:val="24"/>
              </w:rPr>
              <w:t>SPX-250B-Z</w:t>
            </w:r>
            <w:r>
              <w:rPr>
                <w:rFonts w:hint="eastAsia"/>
                <w:sz w:val="24"/>
              </w:rPr>
              <w:t>型生化培养箱</w:t>
            </w:r>
          </w:p>
          <w:p w14:paraId="62F729B2" w14:textId="77777777" w:rsidR="009907C0" w:rsidRDefault="00000000">
            <w:pPr>
              <w:spacing w:afterLines="100" w:after="312" w:line="300" w:lineRule="auto"/>
              <w:rPr>
                <w:sz w:val="24"/>
              </w:rPr>
            </w:pPr>
            <w:proofErr w:type="gramStart"/>
            <w:r>
              <w:rPr>
                <w:rFonts w:hint="eastAsia"/>
                <w:sz w:val="24"/>
              </w:rPr>
              <w:t>邦</w:t>
            </w:r>
            <w:proofErr w:type="gramEnd"/>
            <w:r>
              <w:rPr>
                <w:rFonts w:hint="eastAsia"/>
                <w:sz w:val="24"/>
              </w:rPr>
              <w:t>远</w:t>
            </w:r>
            <w:r>
              <w:rPr>
                <w:rFonts w:hint="eastAsia"/>
                <w:sz w:val="24"/>
              </w:rPr>
              <w:t xml:space="preserve"> BY2020 </w:t>
            </w:r>
            <w:r>
              <w:rPr>
                <w:rFonts w:hint="eastAsia"/>
                <w:sz w:val="24"/>
              </w:rPr>
              <w:t>智能恒温加热台</w:t>
            </w:r>
          </w:p>
        </w:tc>
      </w:tr>
    </w:tbl>
    <w:p w14:paraId="4EC30FAA" w14:textId="77777777" w:rsidR="009907C0" w:rsidRDefault="009907C0">
      <w:pPr>
        <w:spacing w:before="312" w:after="156" w:line="300" w:lineRule="auto"/>
        <w:rPr>
          <w:b/>
          <w:sz w:val="32"/>
          <w:szCs w:val="32"/>
        </w:rPr>
      </w:pPr>
    </w:p>
    <w:p w14:paraId="62F729B4" w14:textId="77777777" w:rsidR="009907C0" w:rsidRDefault="00000000">
      <w:pPr>
        <w:spacing w:before="312" w:after="156" w:line="300" w:lineRule="auto"/>
        <w:rPr>
          <w:b/>
          <w:sz w:val="32"/>
          <w:szCs w:val="32"/>
        </w:rPr>
      </w:pPr>
      <w:r>
        <w:rPr>
          <w:rFonts w:hint="eastAsia"/>
          <w:b/>
          <w:sz w:val="32"/>
          <w:szCs w:val="32"/>
        </w:rPr>
        <w:lastRenderedPageBreak/>
        <w:t>六、项目预期效果及成果形式</w:t>
      </w:r>
    </w:p>
    <w:tbl>
      <w:tblPr>
        <w:tblW w:w="993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81"/>
        <w:gridCol w:w="9458"/>
      </w:tblGrid>
      <w:tr w:rsidR="009907C0" w14:paraId="62F729B8" w14:textId="77777777">
        <w:trPr>
          <w:trHeight w:val="585"/>
          <w:jc w:val="center"/>
        </w:trPr>
        <w:tc>
          <w:tcPr>
            <w:tcW w:w="481" w:type="dxa"/>
            <w:vMerge w:val="restart"/>
            <w:vAlign w:val="center"/>
          </w:tcPr>
          <w:p w14:paraId="62F729B5" w14:textId="77777777" w:rsidR="009907C0" w:rsidRDefault="00000000">
            <w:pPr>
              <w:spacing w:line="300" w:lineRule="auto"/>
              <w:rPr>
                <w:b/>
                <w:sz w:val="24"/>
                <w:szCs w:val="22"/>
              </w:rPr>
            </w:pPr>
            <w:r>
              <w:rPr>
                <w:rFonts w:hint="eastAsia"/>
                <w:b/>
                <w:sz w:val="24"/>
                <w:szCs w:val="22"/>
              </w:rPr>
              <w:t>项目</w:t>
            </w:r>
          </w:p>
          <w:p w14:paraId="62F729B6" w14:textId="77777777" w:rsidR="009907C0" w:rsidRDefault="00000000">
            <w:pPr>
              <w:spacing w:line="300" w:lineRule="auto"/>
              <w:rPr>
                <w:b/>
                <w:sz w:val="24"/>
              </w:rPr>
            </w:pPr>
            <w:r>
              <w:rPr>
                <w:rFonts w:hint="eastAsia"/>
                <w:b/>
                <w:sz w:val="24"/>
                <w:szCs w:val="22"/>
              </w:rPr>
              <w:t>预期成果及其形式</w:t>
            </w:r>
          </w:p>
        </w:tc>
        <w:tc>
          <w:tcPr>
            <w:tcW w:w="9458" w:type="dxa"/>
          </w:tcPr>
          <w:p w14:paraId="62F729B7" w14:textId="77777777" w:rsidR="009907C0" w:rsidRDefault="00000000">
            <w:pPr>
              <w:spacing w:line="300" w:lineRule="auto"/>
              <w:rPr>
                <w:rFonts w:ascii="仿宋_GB2312" w:eastAsia="仿宋_GB2312" w:hAnsi="宋体" w:hint="eastAsia"/>
                <w:szCs w:val="21"/>
              </w:rPr>
            </w:pPr>
            <w:r>
              <w:rPr>
                <w:rFonts w:eastAsia="仿宋_GB2312" w:hint="eastAsia"/>
                <w:sz w:val="24"/>
              </w:rPr>
              <w:t>（学术论文、专利申请、竞赛获奖、开发软件、研制产品、项目鉴定，推广应用等，其中前三项至少任选其一）</w:t>
            </w:r>
          </w:p>
        </w:tc>
      </w:tr>
      <w:tr w:rsidR="009907C0" w14:paraId="62F729BD" w14:textId="77777777">
        <w:trPr>
          <w:trHeight w:val="3611"/>
          <w:jc w:val="center"/>
        </w:trPr>
        <w:tc>
          <w:tcPr>
            <w:tcW w:w="481" w:type="dxa"/>
            <w:vMerge/>
            <w:vAlign w:val="center"/>
          </w:tcPr>
          <w:p w14:paraId="62F729B9" w14:textId="77777777" w:rsidR="009907C0" w:rsidRDefault="009907C0">
            <w:pPr>
              <w:spacing w:line="300" w:lineRule="auto"/>
              <w:rPr>
                <w:b/>
                <w:sz w:val="24"/>
                <w:szCs w:val="22"/>
              </w:rPr>
            </w:pPr>
          </w:p>
        </w:tc>
        <w:tc>
          <w:tcPr>
            <w:tcW w:w="9458" w:type="dxa"/>
            <w:tcBorders>
              <w:bottom w:val="single" w:sz="4" w:space="0" w:color="auto"/>
            </w:tcBorders>
          </w:tcPr>
          <w:p w14:paraId="62F729BA" w14:textId="77777777" w:rsidR="009907C0" w:rsidRDefault="00000000">
            <w:pPr>
              <w:spacing w:line="300" w:lineRule="auto"/>
              <w:rPr>
                <w:rFonts w:ascii="宋体" w:hAnsi="宋体" w:hint="eastAsia"/>
                <w:sz w:val="24"/>
              </w:rPr>
            </w:pPr>
            <w:r>
              <w:rPr>
                <w:rFonts w:ascii="宋体" w:hAnsi="宋体" w:hint="eastAsia"/>
                <w:sz w:val="24"/>
              </w:rPr>
              <w:t>（1）预期结题形式以发表1～2篇核心论文为主。</w:t>
            </w:r>
          </w:p>
          <w:p w14:paraId="62F729BC" w14:textId="77777777" w:rsidR="009907C0" w:rsidRDefault="00000000">
            <w:pPr>
              <w:spacing w:line="300" w:lineRule="auto"/>
              <w:rPr>
                <w:rFonts w:ascii="宋体" w:hAnsi="宋体" w:hint="eastAsia"/>
                <w:sz w:val="24"/>
              </w:rPr>
            </w:pPr>
            <w:r>
              <w:rPr>
                <w:rFonts w:ascii="宋体" w:hAnsi="宋体" w:hint="eastAsia"/>
                <w:sz w:val="24"/>
              </w:rPr>
              <w:t>（2）预期目标及成果为参加中国国际大学生创新创业大赛、挑战杯等竞赛并获奖。</w:t>
            </w:r>
          </w:p>
        </w:tc>
      </w:tr>
      <w:tr w:rsidR="009907C0" w14:paraId="62F729C0" w14:textId="77777777">
        <w:trPr>
          <w:trHeight w:val="936"/>
          <w:jc w:val="center"/>
        </w:trPr>
        <w:tc>
          <w:tcPr>
            <w:tcW w:w="481" w:type="dxa"/>
            <w:vMerge w:val="restart"/>
            <w:vAlign w:val="center"/>
          </w:tcPr>
          <w:p w14:paraId="62F729BE" w14:textId="77777777" w:rsidR="009907C0" w:rsidRDefault="00000000">
            <w:pPr>
              <w:spacing w:line="300" w:lineRule="auto"/>
              <w:rPr>
                <w:b/>
                <w:sz w:val="24"/>
                <w:szCs w:val="22"/>
              </w:rPr>
            </w:pPr>
            <w:r>
              <w:rPr>
                <w:rFonts w:hint="eastAsia"/>
                <w:b/>
                <w:sz w:val="24"/>
                <w:szCs w:val="22"/>
              </w:rPr>
              <w:t>结合专业学习的计划</w:t>
            </w:r>
          </w:p>
        </w:tc>
        <w:tc>
          <w:tcPr>
            <w:tcW w:w="9458" w:type="dxa"/>
          </w:tcPr>
          <w:p w14:paraId="62F729BF" w14:textId="77777777" w:rsidR="009907C0" w:rsidRDefault="00000000">
            <w:pPr>
              <w:spacing w:line="300" w:lineRule="auto"/>
              <w:rPr>
                <w:rFonts w:eastAsia="仿宋_GB2312"/>
                <w:sz w:val="24"/>
              </w:rPr>
            </w:pPr>
            <w:r>
              <w:rPr>
                <w:rFonts w:eastAsia="仿宋_GB2312" w:hint="eastAsia"/>
                <w:sz w:val="24"/>
              </w:rPr>
              <w:t>（是否有进一步深造的想法？如何通过参与项目研究加强专业学习，培养自身的实践能力、科研能力。）</w:t>
            </w:r>
          </w:p>
        </w:tc>
      </w:tr>
      <w:tr w:rsidR="009907C0" w14:paraId="62F729C7" w14:textId="77777777">
        <w:trPr>
          <w:trHeight w:val="3152"/>
          <w:jc w:val="center"/>
        </w:trPr>
        <w:tc>
          <w:tcPr>
            <w:tcW w:w="481" w:type="dxa"/>
            <w:vMerge/>
            <w:vAlign w:val="center"/>
          </w:tcPr>
          <w:p w14:paraId="62F729C1" w14:textId="77777777" w:rsidR="009907C0" w:rsidRDefault="009907C0">
            <w:pPr>
              <w:spacing w:line="300" w:lineRule="auto"/>
              <w:rPr>
                <w:b/>
                <w:sz w:val="24"/>
                <w:szCs w:val="22"/>
              </w:rPr>
            </w:pPr>
          </w:p>
        </w:tc>
        <w:tc>
          <w:tcPr>
            <w:tcW w:w="9458" w:type="dxa"/>
          </w:tcPr>
          <w:p w14:paraId="4C6BA8D5" w14:textId="77777777" w:rsidR="009907C0" w:rsidRDefault="00000000">
            <w:pPr>
              <w:spacing w:line="300" w:lineRule="auto"/>
              <w:ind w:firstLineChars="200" w:firstLine="480"/>
            </w:pPr>
            <w:r>
              <w:rPr>
                <w:sz w:val="24"/>
              </w:rPr>
              <w:t>我们的深造计划与专业学习紧密结合，旨在通过对项目的深入研究，来加强我们在化学与分子工程领域的专业知识。我们认识到，进一步深造将极大地促进我们对药物递送系统设计原理的理解，并使我们掌握生物材料合成的先进技术，这对于我们未来的科研或在工业的应用至关重要。</w:t>
            </w:r>
          </w:p>
          <w:p w14:paraId="62F729C3" w14:textId="77777777" w:rsidR="009907C0" w:rsidRDefault="00000000">
            <w:pPr>
              <w:spacing w:line="300" w:lineRule="auto"/>
              <w:ind w:firstLineChars="200" w:firstLine="480"/>
            </w:pPr>
            <w:r>
              <w:rPr>
                <w:sz w:val="24"/>
              </w:rPr>
              <w:t>为了加强我们的专业学习，我们将积极参与实验室的日常工作，通过实践来提升我们的实验技能和仪器操作能力。我们将专注于聚合物合成、凝胶体系构建和药物释放测试等关键技能的学习，这些都是我们专业的核心内容。</w:t>
            </w:r>
          </w:p>
          <w:p w14:paraId="62F729C4" w14:textId="77777777" w:rsidR="009907C0" w:rsidRDefault="00000000">
            <w:pPr>
              <w:spacing w:line="300" w:lineRule="auto"/>
            </w:pPr>
            <w:r>
              <w:rPr>
                <w:sz w:val="24"/>
              </w:rPr>
              <w:t>在实践能力的培养上，我们将全面参与从项目设计到实施的各个阶段，这将使我们能够将课堂上学到的理论知识应用到实际问题中。我们将通过团队合作和独立思考来解决实验过程中遇到的问题，这将有助于提升我们的问题解决能力。此外，我们也将学习项目管理的基本知识，如时间管理、资源分配和团队协作，这些都是我们专业实践中不可或缺的技能。</w:t>
            </w:r>
          </w:p>
          <w:p w14:paraId="62F729C6" w14:textId="77777777" w:rsidR="009907C0" w:rsidRDefault="00000000">
            <w:pPr>
              <w:spacing w:afterLines="100" w:after="312" w:line="300" w:lineRule="auto"/>
              <w:ind w:firstLineChars="200" w:firstLine="480"/>
            </w:pPr>
            <w:r>
              <w:rPr>
                <w:sz w:val="24"/>
              </w:rPr>
              <w:t>为了培养科研能力，我们将定期阅读相关领域的最新研究文献，这将使我们能够紧跟领域内的最新进展和技术挑战。通过项目研究，我们将培养科研思维，包括假设的提出、实验设计和数据分析等。我们也将尝试提出新的研究思路或方法，以解决项目中遇到的难点问题。同时，我们计划参与撰写研究论文，这将提高我们的学术写作和表达能力，进一步加深我们对专业知识的理解和应用。</w:t>
            </w:r>
          </w:p>
        </w:tc>
      </w:tr>
    </w:tbl>
    <w:p w14:paraId="3906A919" w14:textId="77777777" w:rsidR="009907C0" w:rsidRDefault="009907C0">
      <w:pPr>
        <w:spacing w:before="312" w:after="360" w:line="300" w:lineRule="auto"/>
        <w:ind w:rightChars="-244" w:right="-512"/>
        <w:rPr>
          <w:b/>
          <w:sz w:val="32"/>
          <w:szCs w:val="32"/>
        </w:rPr>
      </w:pPr>
    </w:p>
    <w:p w14:paraId="62F729C8" w14:textId="77777777" w:rsidR="009907C0" w:rsidRDefault="00000000">
      <w:pPr>
        <w:spacing w:before="312" w:after="156" w:line="300" w:lineRule="auto"/>
        <w:ind w:rightChars="-244" w:right="-512"/>
        <w:rPr>
          <w:b/>
          <w:sz w:val="32"/>
          <w:szCs w:val="32"/>
        </w:rPr>
      </w:pPr>
      <w:r>
        <w:rPr>
          <w:rFonts w:hint="eastAsia"/>
          <w:b/>
          <w:sz w:val="32"/>
          <w:szCs w:val="32"/>
        </w:rPr>
        <w:lastRenderedPageBreak/>
        <w:t>七、项目经费预算</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81"/>
        <w:gridCol w:w="9458"/>
      </w:tblGrid>
      <w:tr w:rsidR="009907C0" w14:paraId="62F729CC" w14:textId="77777777">
        <w:trPr>
          <w:trHeight w:val="624"/>
          <w:jc w:val="center"/>
        </w:trPr>
        <w:tc>
          <w:tcPr>
            <w:tcW w:w="481" w:type="dxa"/>
            <w:vMerge w:val="restart"/>
            <w:vAlign w:val="center"/>
          </w:tcPr>
          <w:p w14:paraId="62F729C9" w14:textId="77777777" w:rsidR="009907C0" w:rsidRDefault="00000000">
            <w:pPr>
              <w:spacing w:line="300" w:lineRule="auto"/>
              <w:rPr>
                <w:b/>
                <w:sz w:val="24"/>
              </w:rPr>
            </w:pPr>
            <w:r>
              <w:rPr>
                <w:rFonts w:hint="eastAsia"/>
                <w:b/>
                <w:sz w:val="24"/>
                <w:szCs w:val="22"/>
              </w:rPr>
              <w:t>项目经费使用计划</w:t>
            </w:r>
          </w:p>
        </w:tc>
        <w:tc>
          <w:tcPr>
            <w:tcW w:w="9458" w:type="dxa"/>
          </w:tcPr>
          <w:p w14:paraId="62F729CA" w14:textId="77777777" w:rsidR="009907C0" w:rsidRDefault="00000000">
            <w:pPr>
              <w:spacing w:line="300" w:lineRule="auto"/>
              <w:rPr>
                <w:rFonts w:ascii="仿宋_GB2312" w:eastAsia="仿宋_GB2312" w:hAnsi="宋体" w:hint="eastAsia"/>
                <w:sz w:val="24"/>
              </w:rPr>
            </w:pPr>
            <w:r>
              <w:rPr>
                <w:rFonts w:ascii="仿宋_GB2312" w:eastAsia="仿宋_GB2312" w:hAnsi="宋体" w:hint="eastAsia"/>
                <w:sz w:val="24"/>
              </w:rPr>
              <w:t>（包括大概支出科目（含配套经费）、金额、计算根据及理由，如果别的经费支持请说明）</w:t>
            </w:r>
          </w:p>
          <w:p w14:paraId="62F729CB" w14:textId="77777777" w:rsidR="009907C0" w:rsidRDefault="009907C0">
            <w:pPr>
              <w:spacing w:line="300" w:lineRule="auto"/>
              <w:rPr>
                <w:rFonts w:ascii="仿宋_GB2312" w:eastAsia="仿宋_GB2312" w:hAnsi="宋体" w:hint="eastAsia"/>
                <w:sz w:val="24"/>
              </w:rPr>
            </w:pPr>
          </w:p>
        </w:tc>
      </w:tr>
      <w:tr w:rsidR="009907C0" w14:paraId="62F729E7" w14:textId="77777777">
        <w:trPr>
          <w:trHeight w:val="4201"/>
          <w:jc w:val="center"/>
        </w:trPr>
        <w:tc>
          <w:tcPr>
            <w:tcW w:w="481" w:type="dxa"/>
            <w:vMerge/>
            <w:vAlign w:val="center"/>
          </w:tcPr>
          <w:p w14:paraId="62F729CD" w14:textId="77777777" w:rsidR="009907C0" w:rsidRDefault="009907C0">
            <w:pPr>
              <w:spacing w:line="300" w:lineRule="auto"/>
              <w:rPr>
                <w:b/>
                <w:sz w:val="24"/>
                <w:szCs w:val="22"/>
              </w:rPr>
            </w:pPr>
          </w:p>
        </w:tc>
        <w:tc>
          <w:tcPr>
            <w:tcW w:w="9458" w:type="dxa"/>
          </w:tcPr>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right w:w="28" w:type="dxa"/>
              </w:tblCellMar>
              <w:tblLook w:val="04A0" w:firstRow="1" w:lastRow="0" w:firstColumn="1" w:lastColumn="0" w:noHBand="0" w:noVBand="1"/>
            </w:tblPr>
            <w:tblGrid>
              <w:gridCol w:w="2070"/>
              <w:gridCol w:w="1254"/>
              <w:gridCol w:w="4983"/>
            </w:tblGrid>
            <w:tr w:rsidR="009907C0" w14:paraId="62F729D1" w14:textId="77777777">
              <w:trPr>
                <w:trHeight w:val="454"/>
                <w:jc w:val="center"/>
              </w:trPr>
              <w:tc>
                <w:tcPr>
                  <w:tcW w:w="2070" w:type="dxa"/>
                  <w:vAlign w:val="center"/>
                </w:tcPr>
                <w:p w14:paraId="62F729CE" w14:textId="77777777" w:rsidR="009907C0" w:rsidRDefault="00000000">
                  <w:pPr>
                    <w:spacing w:line="300" w:lineRule="auto"/>
                    <w:jc w:val="center"/>
                    <w:rPr>
                      <w:rFonts w:ascii="仿宋_GB2312" w:eastAsia="仿宋_GB2312" w:hAnsi="宋体" w:hint="eastAsia"/>
                      <w:bCs/>
                      <w:sz w:val="24"/>
                    </w:rPr>
                  </w:pPr>
                  <w:r>
                    <w:rPr>
                      <w:rFonts w:ascii="仿宋_GB2312" w:eastAsia="仿宋_GB2312" w:hAnsi="宋体" w:hint="eastAsia"/>
                      <w:bCs/>
                      <w:sz w:val="24"/>
                    </w:rPr>
                    <w:t>支出科目</w:t>
                  </w:r>
                </w:p>
              </w:tc>
              <w:tc>
                <w:tcPr>
                  <w:tcW w:w="1254" w:type="dxa"/>
                  <w:vAlign w:val="center"/>
                </w:tcPr>
                <w:p w14:paraId="62F729CF" w14:textId="77777777" w:rsidR="009907C0" w:rsidRDefault="00000000">
                  <w:pPr>
                    <w:spacing w:line="300" w:lineRule="auto"/>
                    <w:jc w:val="center"/>
                    <w:rPr>
                      <w:rFonts w:ascii="仿宋_GB2312" w:eastAsia="仿宋_GB2312" w:hAnsi="宋体" w:hint="eastAsia"/>
                      <w:bCs/>
                      <w:sz w:val="24"/>
                    </w:rPr>
                  </w:pPr>
                  <w:r>
                    <w:rPr>
                      <w:rFonts w:ascii="仿宋_GB2312" w:eastAsia="仿宋_GB2312" w:hAnsi="宋体" w:hint="eastAsia"/>
                      <w:bCs/>
                      <w:sz w:val="24"/>
                    </w:rPr>
                    <w:t>金额（元）</w:t>
                  </w:r>
                </w:p>
              </w:tc>
              <w:tc>
                <w:tcPr>
                  <w:tcW w:w="4983" w:type="dxa"/>
                  <w:vAlign w:val="center"/>
                </w:tcPr>
                <w:p w14:paraId="62F729D0" w14:textId="77777777" w:rsidR="009907C0" w:rsidRDefault="00000000">
                  <w:pPr>
                    <w:spacing w:line="300" w:lineRule="auto"/>
                    <w:jc w:val="center"/>
                    <w:rPr>
                      <w:rFonts w:ascii="仿宋_GB2312" w:eastAsia="仿宋_GB2312" w:hAnsi="宋体" w:hint="eastAsia"/>
                      <w:bCs/>
                      <w:sz w:val="24"/>
                    </w:rPr>
                  </w:pPr>
                  <w:r>
                    <w:rPr>
                      <w:rFonts w:ascii="仿宋_GB2312" w:eastAsia="仿宋_GB2312" w:hAnsi="宋体" w:hint="eastAsia"/>
                      <w:bCs/>
                      <w:sz w:val="24"/>
                    </w:rPr>
                    <w:t>计算根据及理由</w:t>
                  </w:r>
                </w:p>
              </w:tc>
            </w:tr>
            <w:tr w:rsidR="009907C0" w14:paraId="62F729D5" w14:textId="77777777">
              <w:trPr>
                <w:trHeight w:val="454"/>
                <w:jc w:val="center"/>
              </w:trPr>
              <w:tc>
                <w:tcPr>
                  <w:tcW w:w="2070" w:type="dxa"/>
                  <w:vAlign w:val="center"/>
                </w:tcPr>
                <w:p w14:paraId="62F729D2" w14:textId="77777777" w:rsidR="009907C0" w:rsidRDefault="00000000">
                  <w:pPr>
                    <w:spacing w:line="300" w:lineRule="auto"/>
                    <w:jc w:val="center"/>
                    <w:rPr>
                      <w:rFonts w:ascii="宋体" w:hAnsi="宋体" w:hint="eastAsia"/>
                      <w:sz w:val="24"/>
                    </w:rPr>
                  </w:pPr>
                  <w:r>
                    <w:rPr>
                      <w:rFonts w:ascii="宋体" w:hAnsi="宋体" w:hint="eastAsia"/>
                      <w:sz w:val="24"/>
                    </w:rPr>
                    <w:t>实验用品及药品</w:t>
                  </w:r>
                </w:p>
              </w:tc>
              <w:tc>
                <w:tcPr>
                  <w:tcW w:w="1254" w:type="dxa"/>
                  <w:vAlign w:val="center"/>
                </w:tcPr>
                <w:p w14:paraId="62F729D3" w14:textId="77777777" w:rsidR="009907C0" w:rsidRPr="00873A01" w:rsidRDefault="00000000">
                  <w:pPr>
                    <w:spacing w:line="300" w:lineRule="auto"/>
                    <w:jc w:val="center"/>
                    <w:rPr>
                      <w:rFonts w:hint="eastAsia"/>
                      <w:sz w:val="24"/>
                    </w:rPr>
                  </w:pPr>
                  <w:r w:rsidRPr="00873A01">
                    <w:rPr>
                      <w:rFonts w:hint="eastAsia"/>
                      <w:sz w:val="24"/>
                    </w:rPr>
                    <w:t>5000</w:t>
                  </w:r>
                </w:p>
              </w:tc>
              <w:tc>
                <w:tcPr>
                  <w:tcW w:w="4983" w:type="dxa"/>
                  <w:vAlign w:val="center"/>
                </w:tcPr>
                <w:p w14:paraId="62F729D4" w14:textId="1B7CD5E0" w:rsidR="009907C0" w:rsidRDefault="00000000">
                  <w:pPr>
                    <w:spacing w:line="300" w:lineRule="auto"/>
                    <w:jc w:val="center"/>
                    <w:rPr>
                      <w:rFonts w:ascii="宋体" w:hAnsi="宋体" w:hint="eastAsia"/>
                      <w:sz w:val="24"/>
                    </w:rPr>
                  </w:pPr>
                  <w:r>
                    <w:rPr>
                      <w:rFonts w:ascii="宋体" w:hAnsi="宋体" w:hint="eastAsia"/>
                      <w:sz w:val="24"/>
                    </w:rPr>
                    <w:t>胶原酶</w:t>
                  </w:r>
                  <w:r w:rsidRPr="00873A01">
                    <w:rPr>
                      <w:rFonts w:hint="eastAsia"/>
                      <w:sz w:val="24"/>
                    </w:rPr>
                    <w:t>1g 5000</w:t>
                  </w:r>
                  <w:r>
                    <w:rPr>
                      <w:rFonts w:ascii="宋体" w:hAnsi="宋体" w:hint="eastAsia"/>
                      <w:sz w:val="24"/>
                    </w:rPr>
                    <w:t>元</w:t>
                  </w:r>
                </w:p>
              </w:tc>
            </w:tr>
            <w:tr w:rsidR="009907C0" w14:paraId="62F729DA" w14:textId="77777777">
              <w:trPr>
                <w:trHeight w:val="454"/>
                <w:jc w:val="center"/>
              </w:trPr>
              <w:tc>
                <w:tcPr>
                  <w:tcW w:w="2070" w:type="dxa"/>
                  <w:vAlign w:val="center"/>
                </w:tcPr>
                <w:p w14:paraId="62F729D6" w14:textId="77777777" w:rsidR="009907C0" w:rsidRDefault="00000000">
                  <w:pPr>
                    <w:spacing w:line="300" w:lineRule="auto"/>
                    <w:jc w:val="center"/>
                    <w:rPr>
                      <w:rFonts w:ascii="宋体" w:hAnsi="宋体" w:hint="eastAsia"/>
                      <w:sz w:val="24"/>
                    </w:rPr>
                  </w:pPr>
                  <w:r>
                    <w:rPr>
                      <w:rFonts w:ascii="宋体" w:hAnsi="宋体" w:hint="eastAsia"/>
                      <w:sz w:val="24"/>
                    </w:rPr>
                    <w:t>交通费</w:t>
                  </w:r>
                </w:p>
              </w:tc>
              <w:tc>
                <w:tcPr>
                  <w:tcW w:w="1254" w:type="dxa"/>
                  <w:vAlign w:val="center"/>
                </w:tcPr>
                <w:p w14:paraId="62F729D7" w14:textId="77777777" w:rsidR="009907C0" w:rsidRPr="00873A01" w:rsidRDefault="00000000">
                  <w:pPr>
                    <w:spacing w:line="300" w:lineRule="auto"/>
                    <w:jc w:val="center"/>
                    <w:rPr>
                      <w:rFonts w:hint="eastAsia"/>
                      <w:sz w:val="24"/>
                    </w:rPr>
                  </w:pPr>
                  <w:r w:rsidRPr="00873A01">
                    <w:rPr>
                      <w:rFonts w:hint="eastAsia"/>
                      <w:sz w:val="24"/>
                    </w:rPr>
                    <w:t>2304</w:t>
                  </w:r>
                </w:p>
              </w:tc>
              <w:tc>
                <w:tcPr>
                  <w:tcW w:w="4983" w:type="dxa"/>
                  <w:vAlign w:val="center"/>
                </w:tcPr>
                <w:p w14:paraId="62F729D8" w14:textId="77777777" w:rsidR="009907C0" w:rsidRDefault="00000000">
                  <w:pPr>
                    <w:spacing w:line="300" w:lineRule="auto"/>
                    <w:jc w:val="center"/>
                    <w:rPr>
                      <w:rFonts w:ascii="宋体" w:hAnsi="宋体" w:hint="eastAsia"/>
                      <w:sz w:val="24"/>
                    </w:rPr>
                  </w:pPr>
                  <w:r>
                    <w:rPr>
                      <w:rFonts w:ascii="宋体" w:hAnsi="宋体" w:hint="eastAsia"/>
                      <w:sz w:val="24"/>
                    </w:rPr>
                    <w:t>奉贤校区到徐汇校区班车：</w:t>
                  </w:r>
                </w:p>
                <w:p w14:paraId="62F729D9" w14:textId="032A4883" w:rsidR="009907C0" w:rsidRDefault="00000000">
                  <w:pPr>
                    <w:spacing w:line="300" w:lineRule="auto"/>
                    <w:jc w:val="center"/>
                    <w:rPr>
                      <w:rFonts w:ascii="宋体" w:hAnsi="宋体" w:hint="eastAsia"/>
                      <w:sz w:val="24"/>
                    </w:rPr>
                  </w:pPr>
                  <w:r w:rsidRPr="00873A01">
                    <w:rPr>
                      <w:rFonts w:hint="eastAsia"/>
                      <w:sz w:val="24"/>
                    </w:rPr>
                    <w:t>24</w:t>
                  </w:r>
                  <w:r w:rsidRPr="00873A01">
                    <w:rPr>
                      <w:rFonts w:hint="eastAsia"/>
                      <w:sz w:val="24"/>
                    </w:rPr>
                    <w:t>×</w:t>
                  </w:r>
                  <w:r w:rsidRPr="00873A01">
                    <w:rPr>
                      <w:rFonts w:hint="eastAsia"/>
                      <w:sz w:val="24"/>
                    </w:rPr>
                    <w:t>2</w:t>
                  </w:r>
                  <w:r w:rsidRPr="00873A01">
                    <w:rPr>
                      <w:rFonts w:hint="eastAsia"/>
                      <w:sz w:val="24"/>
                    </w:rPr>
                    <w:t>×</w:t>
                  </w:r>
                  <w:r w:rsidRPr="00873A01">
                    <w:rPr>
                      <w:rFonts w:hint="eastAsia"/>
                      <w:sz w:val="24"/>
                    </w:rPr>
                    <w:t>4</w:t>
                  </w:r>
                  <w:r w:rsidRPr="00873A01">
                    <w:rPr>
                      <w:rFonts w:hint="eastAsia"/>
                      <w:sz w:val="24"/>
                    </w:rPr>
                    <w:t>×</w:t>
                  </w:r>
                  <w:r w:rsidRPr="00873A01">
                    <w:rPr>
                      <w:rFonts w:hint="eastAsia"/>
                      <w:sz w:val="24"/>
                    </w:rPr>
                    <w:t>12=23</w:t>
                  </w:r>
                  <w:r w:rsidR="00873A01">
                    <w:rPr>
                      <w:rFonts w:hint="eastAsia"/>
                      <w:sz w:val="24"/>
                    </w:rPr>
                    <w:t>0</w:t>
                  </w:r>
                  <w:r w:rsidRPr="00873A01">
                    <w:rPr>
                      <w:rFonts w:hint="eastAsia"/>
                      <w:sz w:val="24"/>
                    </w:rPr>
                    <w:t>4</w:t>
                  </w:r>
                  <w:r>
                    <w:rPr>
                      <w:rFonts w:ascii="宋体" w:hAnsi="宋体" w:hint="eastAsia"/>
                      <w:sz w:val="24"/>
                    </w:rPr>
                    <w:t>元</w:t>
                  </w:r>
                </w:p>
              </w:tc>
            </w:tr>
            <w:tr w:rsidR="009907C0" w14:paraId="62F729E1" w14:textId="77777777">
              <w:trPr>
                <w:trHeight w:val="454"/>
                <w:jc w:val="center"/>
              </w:trPr>
              <w:tc>
                <w:tcPr>
                  <w:tcW w:w="2070" w:type="dxa"/>
                  <w:vAlign w:val="center"/>
                </w:tcPr>
                <w:p w14:paraId="62F729DB" w14:textId="77777777" w:rsidR="009907C0" w:rsidRDefault="00000000">
                  <w:pPr>
                    <w:spacing w:line="300" w:lineRule="auto"/>
                    <w:jc w:val="center"/>
                    <w:rPr>
                      <w:rFonts w:ascii="宋体" w:hAnsi="宋体" w:hint="eastAsia"/>
                      <w:sz w:val="24"/>
                    </w:rPr>
                  </w:pPr>
                  <w:r>
                    <w:rPr>
                      <w:rFonts w:ascii="宋体" w:hAnsi="宋体" w:hint="eastAsia"/>
                      <w:sz w:val="24"/>
                    </w:rPr>
                    <w:t>书费</w:t>
                  </w:r>
                </w:p>
              </w:tc>
              <w:tc>
                <w:tcPr>
                  <w:tcW w:w="1254" w:type="dxa"/>
                  <w:vAlign w:val="center"/>
                </w:tcPr>
                <w:p w14:paraId="62F729DC" w14:textId="77777777" w:rsidR="009907C0" w:rsidRPr="00873A01" w:rsidRDefault="00000000">
                  <w:pPr>
                    <w:spacing w:line="300" w:lineRule="auto"/>
                    <w:jc w:val="center"/>
                    <w:rPr>
                      <w:rFonts w:hint="eastAsia"/>
                      <w:sz w:val="24"/>
                    </w:rPr>
                  </w:pPr>
                  <w:r w:rsidRPr="00873A01">
                    <w:rPr>
                      <w:rFonts w:hint="eastAsia"/>
                      <w:sz w:val="24"/>
                    </w:rPr>
                    <w:t>300</w:t>
                  </w:r>
                </w:p>
              </w:tc>
              <w:tc>
                <w:tcPr>
                  <w:tcW w:w="4983" w:type="dxa"/>
                  <w:vAlign w:val="center"/>
                </w:tcPr>
                <w:p w14:paraId="62F729DD" w14:textId="0F2DAC91" w:rsidR="009907C0" w:rsidRDefault="00000000">
                  <w:pPr>
                    <w:spacing w:line="300" w:lineRule="auto"/>
                    <w:rPr>
                      <w:sz w:val="24"/>
                    </w:rPr>
                  </w:pPr>
                  <w:r>
                    <w:rPr>
                      <w:sz w:val="24"/>
                    </w:rPr>
                    <w:t>《生物材料科学与工程丛书：生物医用高分子材料》</w:t>
                  </w:r>
                  <w:r>
                    <w:rPr>
                      <w:sz w:val="24"/>
                    </w:rPr>
                    <w:t>155</w:t>
                  </w:r>
                  <w:r>
                    <w:rPr>
                      <w:sz w:val="24"/>
                    </w:rPr>
                    <w:t>元</w:t>
                  </w:r>
                </w:p>
                <w:p w14:paraId="62F729DE" w14:textId="6D9F3128" w:rsidR="009907C0" w:rsidRDefault="00000000">
                  <w:pPr>
                    <w:spacing w:line="300" w:lineRule="auto"/>
                    <w:rPr>
                      <w:sz w:val="24"/>
                    </w:rPr>
                  </w:pPr>
                  <w:r>
                    <w:rPr>
                      <w:sz w:val="24"/>
                    </w:rPr>
                    <w:t>《材料生物学》</w:t>
                  </w:r>
                  <w:r>
                    <w:rPr>
                      <w:sz w:val="24"/>
                    </w:rPr>
                    <w:t>35</w:t>
                  </w:r>
                  <w:r>
                    <w:rPr>
                      <w:sz w:val="24"/>
                    </w:rPr>
                    <w:t>元</w:t>
                  </w:r>
                </w:p>
                <w:p w14:paraId="62F729DF" w14:textId="6641F2D7" w:rsidR="009907C0" w:rsidRDefault="00000000">
                  <w:pPr>
                    <w:spacing w:line="300" w:lineRule="auto"/>
                    <w:rPr>
                      <w:sz w:val="24"/>
                    </w:rPr>
                  </w:pPr>
                  <w:r>
                    <w:rPr>
                      <w:sz w:val="24"/>
                    </w:rPr>
                    <w:t>《新型药物传释系统及材料研究与应用》</w:t>
                  </w:r>
                  <w:r>
                    <w:rPr>
                      <w:sz w:val="24"/>
                    </w:rPr>
                    <w:t>80</w:t>
                  </w:r>
                  <w:r>
                    <w:rPr>
                      <w:sz w:val="24"/>
                    </w:rPr>
                    <w:t>元</w:t>
                  </w:r>
                </w:p>
                <w:p w14:paraId="62F729E0" w14:textId="77777777" w:rsidR="009907C0" w:rsidRPr="00873A01" w:rsidRDefault="00000000">
                  <w:pPr>
                    <w:spacing w:line="300" w:lineRule="auto"/>
                    <w:rPr>
                      <w:rFonts w:hint="eastAsia"/>
                      <w:sz w:val="24"/>
                    </w:rPr>
                  </w:pPr>
                  <w:r w:rsidRPr="00873A01">
                    <w:rPr>
                      <w:rFonts w:hint="eastAsia"/>
                      <w:sz w:val="24"/>
                    </w:rPr>
                    <w:t>《高分子凝胶科学与技术》</w:t>
                  </w:r>
                  <w:r w:rsidRPr="00873A01">
                    <w:rPr>
                      <w:rFonts w:hint="eastAsia"/>
                      <w:sz w:val="24"/>
                    </w:rPr>
                    <w:t>40</w:t>
                  </w:r>
                  <w:r w:rsidRPr="00873A01">
                    <w:rPr>
                      <w:rFonts w:hint="eastAsia"/>
                      <w:sz w:val="24"/>
                    </w:rPr>
                    <w:t>元</w:t>
                  </w:r>
                </w:p>
              </w:tc>
            </w:tr>
            <w:tr w:rsidR="009907C0" w14:paraId="62F729E5" w14:textId="77777777">
              <w:trPr>
                <w:trHeight w:val="454"/>
                <w:jc w:val="center"/>
              </w:trPr>
              <w:tc>
                <w:tcPr>
                  <w:tcW w:w="2070" w:type="dxa"/>
                  <w:vAlign w:val="center"/>
                </w:tcPr>
                <w:p w14:paraId="62F729E2" w14:textId="77777777" w:rsidR="009907C0" w:rsidRDefault="00000000">
                  <w:pPr>
                    <w:spacing w:line="300" w:lineRule="auto"/>
                    <w:jc w:val="center"/>
                    <w:rPr>
                      <w:rFonts w:ascii="宋体" w:hAnsi="宋体" w:hint="eastAsia"/>
                      <w:sz w:val="24"/>
                    </w:rPr>
                  </w:pPr>
                  <w:r>
                    <w:rPr>
                      <w:rFonts w:ascii="宋体" w:hAnsi="宋体" w:hint="eastAsia"/>
                      <w:sz w:val="24"/>
                    </w:rPr>
                    <w:t>测试费</w:t>
                  </w:r>
                </w:p>
              </w:tc>
              <w:tc>
                <w:tcPr>
                  <w:tcW w:w="1254" w:type="dxa"/>
                  <w:vAlign w:val="center"/>
                </w:tcPr>
                <w:p w14:paraId="62F729E3" w14:textId="77777777" w:rsidR="009907C0" w:rsidRPr="00873A01" w:rsidRDefault="00000000">
                  <w:pPr>
                    <w:spacing w:line="300" w:lineRule="auto"/>
                    <w:jc w:val="center"/>
                    <w:rPr>
                      <w:rFonts w:hint="eastAsia"/>
                      <w:sz w:val="24"/>
                    </w:rPr>
                  </w:pPr>
                  <w:r w:rsidRPr="00873A01">
                    <w:rPr>
                      <w:rFonts w:hint="eastAsia"/>
                      <w:sz w:val="24"/>
                    </w:rPr>
                    <w:t>2000</w:t>
                  </w:r>
                </w:p>
              </w:tc>
              <w:tc>
                <w:tcPr>
                  <w:tcW w:w="4983" w:type="dxa"/>
                  <w:vAlign w:val="center"/>
                </w:tcPr>
                <w:p w14:paraId="62F729E4" w14:textId="77777777" w:rsidR="009907C0" w:rsidRPr="00873A01" w:rsidRDefault="00000000">
                  <w:pPr>
                    <w:spacing w:line="300" w:lineRule="auto"/>
                    <w:jc w:val="center"/>
                    <w:rPr>
                      <w:rFonts w:hint="eastAsia"/>
                      <w:sz w:val="24"/>
                    </w:rPr>
                  </w:pPr>
                  <w:r w:rsidRPr="00873A01">
                    <w:rPr>
                      <w:rFonts w:hint="eastAsia"/>
                      <w:sz w:val="24"/>
                    </w:rPr>
                    <w:t>无</w:t>
                  </w:r>
                </w:p>
              </w:tc>
            </w:tr>
          </w:tbl>
          <w:p w14:paraId="62F729E6" w14:textId="77777777" w:rsidR="009907C0" w:rsidRDefault="009907C0">
            <w:pPr>
              <w:spacing w:line="300" w:lineRule="auto"/>
            </w:pPr>
          </w:p>
        </w:tc>
      </w:tr>
    </w:tbl>
    <w:p w14:paraId="2E8D9AFE" w14:textId="77777777" w:rsidR="009907C0" w:rsidRDefault="009907C0">
      <w:pPr>
        <w:spacing w:before="312" w:after="156"/>
        <w:rPr>
          <w:b/>
          <w:sz w:val="32"/>
          <w:szCs w:val="32"/>
        </w:rPr>
      </w:pPr>
    </w:p>
    <w:p w14:paraId="62F729E8" w14:textId="77777777" w:rsidR="009907C0" w:rsidRDefault="00000000">
      <w:pPr>
        <w:spacing w:before="312" w:after="156"/>
        <w:rPr>
          <w:b/>
          <w:sz w:val="32"/>
          <w:szCs w:val="32"/>
        </w:rPr>
      </w:pPr>
      <w:r>
        <w:rPr>
          <w:rFonts w:hint="eastAsia"/>
          <w:b/>
          <w:sz w:val="32"/>
          <w:szCs w:val="32"/>
        </w:rPr>
        <w:t>八、指导老师意见</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81"/>
        <w:gridCol w:w="9458"/>
      </w:tblGrid>
      <w:tr w:rsidR="009907C0" w14:paraId="62F729EB" w14:textId="77777777">
        <w:trPr>
          <w:trHeight w:val="936"/>
          <w:jc w:val="center"/>
        </w:trPr>
        <w:tc>
          <w:tcPr>
            <w:tcW w:w="481" w:type="dxa"/>
            <w:vMerge w:val="restart"/>
            <w:vAlign w:val="center"/>
          </w:tcPr>
          <w:p w14:paraId="62F729E9" w14:textId="77777777" w:rsidR="009907C0" w:rsidRDefault="00000000">
            <w:pPr>
              <w:rPr>
                <w:b/>
                <w:sz w:val="24"/>
              </w:rPr>
            </w:pPr>
            <w:r>
              <w:rPr>
                <w:rFonts w:hint="eastAsia"/>
                <w:b/>
                <w:sz w:val="24"/>
                <w:szCs w:val="22"/>
              </w:rPr>
              <w:t>指导教师意见及指导计划</w:t>
            </w:r>
          </w:p>
        </w:tc>
        <w:tc>
          <w:tcPr>
            <w:tcW w:w="9458" w:type="dxa"/>
          </w:tcPr>
          <w:p w14:paraId="62F729EA" w14:textId="77777777" w:rsidR="009907C0" w:rsidRDefault="00000000">
            <w:pPr>
              <w:spacing w:line="300" w:lineRule="auto"/>
              <w:rPr>
                <w:rFonts w:ascii="仿宋_GB2312" w:eastAsia="仿宋_GB2312" w:hAnsi="宋体" w:hint="eastAsia"/>
                <w:sz w:val="24"/>
              </w:rPr>
            </w:pPr>
            <w:r>
              <w:rPr>
                <w:rFonts w:ascii="仿宋_GB2312" w:eastAsia="仿宋_GB2312" w:hAnsi="宋体" w:hint="eastAsia"/>
                <w:sz w:val="24"/>
              </w:rPr>
              <w:t>（指导教师指导项目实施的机会和安排，并从项目学科性、前沿性、可行性、研究性、可操作性和成效性加以评价）</w:t>
            </w:r>
          </w:p>
        </w:tc>
      </w:tr>
      <w:tr w:rsidR="009907C0" w14:paraId="62F729F6" w14:textId="77777777">
        <w:trPr>
          <w:trHeight w:val="4097"/>
          <w:jc w:val="center"/>
        </w:trPr>
        <w:tc>
          <w:tcPr>
            <w:tcW w:w="481" w:type="dxa"/>
            <w:vMerge/>
            <w:vAlign w:val="center"/>
          </w:tcPr>
          <w:p w14:paraId="62F729EC" w14:textId="77777777" w:rsidR="009907C0" w:rsidRDefault="009907C0">
            <w:pPr>
              <w:rPr>
                <w:b/>
                <w:sz w:val="24"/>
                <w:szCs w:val="22"/>
              </w:rPr>
            </w:pPr>
          </w:p>
        </w:tc>
        <w:tc>
          <w:tcPr>
            <w:tcW w:w="9458" w:type="dxa"/>
          </w:tcPr>
          <w:p w14:paraId="62F729F1" w14:textId="77777777" w:rsidR="009907C0" w:rsidRDefault="00000000" w:rsidP="00322E52">
            <w:pPr>
              <w:spacing w:line="300" w:lineRule="auto"/>
              <w:ind w:firstLineChars="200" w:firstLine="480"/>
              <w:rPr>
                <w:sz w:val="24"/>
              </w:rPr>
            </w:pPr>
            <w:r>
              <w:rPr>
                <w:rFonts w:hint="eastAsia"/>
                <w:sz w:val="24"/>
              </w:rPr>
              <w:t>该小组成员学习成绩优秀，对科研工作充满热情，积极进课题组学习、查找资料，在充分理解研究背景的情况下，开展实验研究规划，计划书撰写内容完整，思路清晰，方案可行。</w:t>
            </w:r>
          </w:p>
          <w:p w14:paraId="62F729F2" w14:textId="77777777" w:rsidR="009907C0" w:rsidRDefault="009907C0">
            <w:pPr>
              <w:spacing w:line="300" w:lineRule="auto"/>
              <w:jc w:val="left"/>
              <w:rPr>
                <w:rFonts w:ascii="宋体" w:hAnsi="宋体" w:hint="eastAsia"/>
                <w:sz w:val="24"/>
              </w:rPr>
            </w:pPr>
          </w:p>
          <w:p w14:paraId="62F729F3" w14:textId="77777777" w:rsidR="009907C0" w:rsidRDefault="009907C0">
            <w:pPr>
              <w:spacing w:line="300" w:lineRule="auto"/>
              <w:jc w:val="left"/>
              <w:rPr>
                <w:rFonts w:ascii="宋体" w:hAnsi="宋体" w:hint="eastAsia"/>
                <w:sz w:val="24"/>
              </w:rPr>
            </w:pPr>
          </w:p>
          <w:p w14:paraId="5E7552A6" w14:textId="77777777" w:rsidR="009907C0" w:rsidRDefault="00000000">
            <w:pPr>
              <w:pStyle w:val="ac"/>
              <w:rPr>
                <w:rFonts w:hint="eastAsia"/>
              </w:rPr>
            </w:pPr>
            <w:r>
              <w:rPr>
                <w:rFonts w:ascii="仿宋_GB2312" w:eastAsia="仿宋_GB2312" w:hint="eastAsia"/>
                <w:b/>
              </w:rPr>
              <w:t xml:space="preserve">   </w:t>
            </w:r>
            <w:r>
              <w:rPr>
                <w:rFonts w:ascii="仿宋_GB2312" w:eastAsia="仿宋_GB2312"/>
                <w:b/>
              </w:rPr>
              <w:t xml:space="preserve">                               </w:t>
            </w:r>
            <w:r>
              <w:rPr>
                <w:rFonts w:ascii="仿宋_GB2312" w:eastAsia="仿宋_GB2312" w:hint="eastAsia"/>
                <w:b/>
              </w:rPr>
              <w:t xml:space="preserve">指导教师签字：      </w:t>
            </w:r>
            <w:r w:rsidR="004F7439">
              <w:pict w14:anchorId="2B3119AB">
                <v:shape id="_x0000_i1027" type="#_x0000_t75" style="width:60pt;height:34.8pt">
                  <v:imagedata r:id="rId8" o:title="徐首红"/>
                </v:shape>
              </w:pict>
            </w:r>
          </w:p>
          <w:p w14:paraId="62F729F5" w14:textId="5BB283F7" w:rsidR="009907C0" w:rsidRDefault="00000000">
            <w:pPr>
              <w:pStyle w:val="ac"/>
              <w:jc w:val="right"/>
              <w:rPr>
                <w:rFonts w:ascii="仿宋_GB2312" w:eastAsia="仿宋_GB2312" w:hint="eastAsia"/>
              </w:rPr>
            </w:pPr>
            <w:r>
              <w:rPr>
                <w:rFonts w:ascii="仿宋_GB2312" w:eastAsia="仿宋_GB2312" w:hint="eastAsia"/>
                <w:b/>
              </w:rPr>
              <w:t>2024年11月12日</w:t>
            </w:r>
          </w:p>
        </w:tc>
      </w:tr>
    </w:tbl>
    <w:p w14:paraId="0599EED5" w14:textId="77777777" w:rsidR="009907C0" w:rsidRDefault="009907C0">
      <w:pPr>
        <w:spacing w:beforeLines="100" w:before="312" w:afterLines="50" w:after="156"/>
        <w:rPr>
          <w:b/>
          <w:sz w:val="32"/>
          <w:szCs w:val="32"/>
        </w:rPr>
      </w:pPr>
    </w:p>
    <w:p w14:paraId="0A693E69" w14:textId="77777777" w:rsidR="009907C0" w:rsidRDefault="00000000">
      <w:pPr>
        <w:spacing w:beforeLines="100" w:before="312" w:afterLines="50" w:after="156"/>
        <w:rPr>
          <w:b/>
          <w:sz w:val="32"/>
          <w:szCs w:val="32"/>
        </w:rPr>
      </w:pPr>
      <w:r>
        <w:rPr>
          <w:rFonts w:hint="eastAsia"/>
          <w:b/>
          <w:sz w:val="32"/>
          <w:szCs w:val="32"/>
        </w:rPr>
        <w:lastRenderedPageBreak/>
        <w:t>九、审查意见</w:t>
      </w:r>
    </w:p>
    <w:tbl>
      <w:tblPr>
        <w:tblW w:w="99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1"/>
        <w:gridCol w:w="9458"/>
      </w:tblGrid>
      <w:tr w:rsidR="009907C0" w14:paraId="3123F3EB" w14:textId="77777777">
        <w:trPr>
          <w:trHeight w:val="4026"/>
          <w:jc w:val="center"/>
        </w:trPr>
        <w:tc>
          <w:tcPr>
            <w:tcW w:w="481" w:type="dxa"/>
            <w:vAlign w:val="center"/>
          </w:tcPr>
          <w:p w14:paraId="028BF374" w14:textId="77777777" w:rsidR="009907C0" w:rsidRDefault="00000000">
            <w:pPr>
              <w:rPr>
                <w:b/>
                <w:sz w:val="24"/>
              </w:rPr>
            </w:pPr>
            <w:r>
              <w:rPr>
                <w:rFonts w:hint="eastAsia"/>
                <w:b/>
                <w:sz w:val="24"/>
              </w:rPr>
              <w:t>答辩专家组意见</w:t>
            </w:r>
          </w:p>
        </w:tc>
        <w:tc>
          <w:tcPr>
            <w:tcW w:w="9458" w:type="dxa"/>
          </w:tcPr>
          <w:p w14:paraId="4E074A2F" w14:textId="77777777" w:rsidR="009907C0" w:rsidRDefault="009907C0">
            <w:pPr>
              <w:spacing w:line="300" w:lineRule="auto"/>
              <w:rPr>
                <w:rFonts w:ascii="宋体" w:hAnsi="宋体" w:hint="eastAsia"/>
                <w:sz w:val="24"/>
              </w:rPr>
            </w:pPr>
          </w:p>
          <w:p w14:paraId="08B5CAE4" w14:textId="77777777" w:rsidR="009907C0" w:rsidRDefault="009907C0">
            <w:pPr>
              <w:spacing w:line="300" w:lineRule="auto"/>
              <w:rPr>
                <w:rFonts w:ascii="宋体" w:hAnsi="宋体" w:hint="eastAsia"/>
                <w:sz w:val="24"/>
              </w:rPr>
            </w:pPr>
          </w:p>
          <w:p w14:paraId="413540D4" w14:textId="77777777" w:rsidR="009907C0" w:rsidRDefault="009907C0">
            <w:pPr>
              <w:spacing w:line="300" w:lineRule="auto"/>
              <w:rPr>
                <w:rFonts w:ascii="宋体" w:hAnsi="宋体" w:hint="eastAsia"/>
                <w:sz w:val="24"/>
              </w:rPr>
            </w:pPr>
          </w:p>
          <w:p w14:paraId="3304E11B" w14:textId="77777777" w:rsidR="009907C0" w:rsidRDefault="009907C0">
            <w:pPr>
              <w:spacing w:line="300" w:lineRule="auto"/>
              <w:rPr>
                <w:rFonts w:ascii="宋体" w:hAnsi="宋体" w:hint="eastAsia"/>
                <w:sz w:val="24"/>
              </w:rPr>
            </w:pPr>
          </w:p>
          <w:p w14:paraId="5D3C8559" w14:textId="77777777" w:rsidR="009907C0" w:rsidRDefault="009907C0">
            <w:pPr>
              <w:spacing w:line="300" w:lineRule="auto"/>
              <w:rPr>
                <w:rFonts w:ascii="宋体" w:hAnsi="宋体" w:hint="eastAsia"/>
                <w:sz w:val="24"/>
              </w:rPr>
            </w:pPr>
          </w:p>
          <w:p w14:paraId="75D49E8A" w14:textId="77777777" w:rsidR="009907C0" w:rsidRDefault="009907C0">
            <w:pPr>
              <w:spacing w:line="300" w:lineRule="auto"/>
              <w:rPr>
                <w:rFonts w:ascii="宋体" w:hAnsi="宋体" w:hint="eastAsia"/>
                <w:sz w:val="24"/>
              </w:rPr>
            </w:pPr>
          </w:p>
          <w:p w14:paraId="78D313F5" w14:textId="77777777" w:rsidR="009907C0" w:rsidRDefault="009907C0">
            <w:pPr>
              <w:wordWrap w:val="0"/>
              <w:spacing w:afterLines="50" w:after="156" w:line="360" w:lineRule="auto"/>
              <w:jc w:val="right"/>
              <w:rPr>
                <w:rFonts w:ascii="仿宋_GB2312" w:eastAsia="仿宋_GB2312" w:hAnsi="宋体" w:hint="eastAsia"/>
                <w:b/>
                <w:sz w:val="24"/>
              </w:rPr>
            </w:pPr>
          </w:p>
          <w:p w14:paraId="54B199B6" w14:textId="77777777" w:rsidR="009907C0" w:rsidRDefault="00000000">
            <w:pPr>
              <w:wordWrap w:val="0"/>
              <w:spacing w:afterLines="50" w:after="156" w:line="360" w:lineRule="auto"/>
              <w:jc w:val="right"/>
              <w:rPr>
                <w:rFonts w:ascii="仿宋_GB2312" w:eastAsia="仿宋_GB2312" w:hAnsi="宋体" w:hint="eastAsia"/>
                <w:b/>
                <w:sz w:val="24"/>
              </w:rPr>
            </w:pPr>
            <w:r>
              <w:rPr>
                <w:rFonts w:ascii="仿宋_GB2312" w:eastAsia="仿宋_GB2312" w:hAnsi="宋体" w:hint="eastAsia"/>
                <w:b/>
                <w:sz w:val="24"/>
              </w:rPr>
              <w:t xml:space="preserve">答辩专家组签字：                </w:t>
            </w:r>
          </w:p>
          <w:p w14:paraId="3C62B0C3" w14:textId="77777777" w:rsidR="009907C0" w:rsidRDefault="00000000">
            <w:pPr>
              <w:wordWrap w:val="0"/>
              <w:spacing w:afterLines="50" w:after="156" w:line="360" w:lineRule="auto"/>
              <w:jc w:val="right"/>
              <w:rPr>
                <w:rFonts w:ascii="仿宋_GB2312" w:eastAsia="仿宋_GB2312" w:hAnsi="宋体" w:hint="eastAsia"/>
                <w:b/>
                <w:sz w:val="24"/>
              </w:rPr>
            </w:pPr>
            <w:r>
              <w:rPr>
                <w:rFonts w:ascii="仿宋_GB2312" w:eastAsia="仿宋_GB2312" w:hAnsi="宋体" w:hint="eastAsia"/>
                <w:b/>
                <w:sz w:val="24"/>
              </w:rPr>
              <w:t>年  月  日</w:t>
            </w:r>
          </w:p>
        </w:tc>
      </w:tr>
      <w:tr w:rsidR="009907C0" w14:paraId="1CC220A7" w14:textId="77777777">
        <w:trPr>
          <w:trHeight w:val="3773"/>
          <w:jc w:val="center"/>
        </w:trPr>
        <w:tc>
          <w:tcPr>
            <w:tcW w:w="481" w:type="dxa"/>
            <w:tcBorders>
              <w:top w:val="single" w:sz="4" w:space="0" w:color="auto"/>
              <w:left w:val="single" w:sz="4" w:space="0" w:color="auto"/>
              <w:bottom w:val="single" w:sz="4" w:space="0" w:color="auto"/>
              <w:right w:val="single" w:sz="4" w:space="0" w:color="auto"/>
            </w:tcBorders>
            <w:vAlign w:val="center"/>
          </w:tcPr>
          <w:p w14:paraId="4B51585C" w14:textId="77777777" w:rsidR="009907C0" w:rsidRDefault="00000000">
            <w:pPr>
              <w:rPr>
                <w:b/>
                <w:sz w:val="24"/>
              </w:rPr>
            </w:pPr>
            <w:r>
              <w:rPr>
                <w:rFonts w:hint="eastAsia"/>
                <w:b/>
                <w:sz w:val="24"/>
              </w:rPr>
              <w:t>学院意见</w:t>
            </w:r>
          </w:p>
        </w:tc>
        <w:tc>
          <w:tcPr>
            <w:tcW w:w="9458" w:type="dxa"/>
            <w:tcBorders>
              <w:top w:val="single" w:sz="4" w:space="0" w:color="auto"/>
              <w:left w:val="single" w:sz="4" w:space="0" w:color="auto"/>
              <w:bottom w:val="single" w:sz="4" w:space="0" w:color="auto"/>
              <w:right w:val="single" w:sz="4" w:space="0" w:color="auto"/>
            </w:tcBorders>
          </w:tcPr>
          <w:p w14:paraId="0AB7A109" w14:textId="77777777" w:rsidR="009907C0" w:rsidRDefault="009907C0">
            <w:pPr>
              <w:spacing w:line="300" w:lineRule="auto"/>
              <w:rPr>
                <w:rFonts w:ascii="宋体" w:hAnsi="宋体" w:hint="eastAsia"/>
                <w:sz w:val="24"/>
                <w:szCs w:val="21"/>
              </w:rPr>
            </w:pPr>
          </w:p>
          <w:p w14:paraId="41A9810E" w14:textId="77777777" w:rsidR="009907C0" w:rsidRDefault="009907C0">
            <w:pPr>
              <w:spacing w:line="300" w:lineRule="auto"/>
              <w:rPr>
                <w:rFonts w:ascii="宋体" w:hAnsi="宋体" w:hint="eastAsia"/>
                <w:sz w:val="24"/>
                <w:szCs w:val="21"/>
              </w:rPr>
            </w:pPr>
          </w:p>
          <w:p w14:paraId="1EC8C510" w14:textId="77777777" w:rsidR="009907C0" w:rsidRDefault="009907C0">
            <w:pPr>
              <w:spacing w:line="300" w:lineRule="auto"/>
              <w:rPr>
                <w:rFonts w:ascii="宋体" w:hAnsi="宋体" w:hint="eastAsia"/>
                <w:sz w:val="24"/>
                <w:szCs w:val="21"/>
              </w:rPr>
            </w:pPr>
          </w:p>
          <w:p w14:paraId="173CBB86" w14:textId="77777777" w:rsidR="009907C0" w:rsidRDefault="009907C0">
            <w:pPr>
              <w:spacing w:line="300" w:lineRule="auto"/>
              <w:rPr>
                <w:rFonts w:ascii="宋体" w:hAnsi="宋体" w:hint="eastAsia"/>
                <w:sz w:val="24"/>
                <w:szCs w:val="21"/>
              </w:rPr>
            </w:pPr>
          </w:p>
          <w:p w14:paraId="0FF2CCD0" w14:textId="77777777" w:rsidR="009907C0" w:rsidRDefault="009907C0">
            <w:pPr>
              <w:spacing w:line="300" w:lineRule="auto"/>
              <w:rPr>
                <w:rFonts w:ascii="宋体" w:hAnsi="宋体" w:hint="eastAsia"/>
                <w:sz w:val="24"/>
                <w:szCs w:val="21"/>
              </w:rPr>
            </w:pPr>
          </w:p>
          <w:p w14:paraId="70A805D3" w14:textId="77777777" w:rsidR="009907C0" w:rsidRDefault="009907C0">
            <w:pPr>
              <w:spacing w:line="300" w:lineRule="auto"/>
              <w:rPr>
                <w:rFonts w:ascii="宋体" w:hAnsi="宋体" w:hint="eastAsia"/>
                <w:sz w:val="24"/>
                <w:szCs w:val="21"/>
              </w:rPr>
            </w:pPr>
          </w:p>
          <w:p w14:paraId="78F46DAE" w14:textId="77777777" w:rsidR="009907C0" w:rsidRDefault="00000000">
            <w:pPr>
              <w:wordWrap w:val="0"/>
              <w:spacing w:afterLines="50" w:after="156" w:line="360" w:lineRule="auto"/>
              <w:jc w:val="right"/>
              <w:rPr>
                <w:rFonts w:ascii="仿宋_GB2312" w:eastAsia="仿宋_GB2312" w:hAnsi="宋体" w:hint="eastAsia"/>
                <w:b/>
                <w:sz w:val="24"/>
              </w:rPr>
            </w:pPr>
            <w:r>
              <w:rPr>
                <w:rFonts w:ascii="仿宋_GB2312" w:eastAsia="仿宋_GB2312" w:hAnsi="宋体" w:hint="eastAsia"/>
                <w:b/>
                <w:sz w:val="24"/>
              </w:rPr>
              <w:t xml:space="preserve">学院负责人签字：                </w:t>
            </w:r>
          </w:p>
          <w:p w14:paraId="54209A21" w14:textId="77777777" w:rsidR="009907C0" w:rsidRDefault="00000000">
            <w:pPr>
              <w:spacing w:line="300" w:lineRule="auto"/>
              <w:jc w:val="right"/>
              <w:rPr>
                <w:rFonts w:ascii="仿宋_GB2312" w:eastAsia="仿宋_GB2312" w:hAnsi="宋体" w:hint="eastAsia"/>
                <w:b/>
                <w:sz w:val="24"/>
              </w:rPr>
            </w:pPr>
            <w:r>
              <w:rPr>
                <w:rFonts w:ascii="仿宋_GB2312" w:eastAsia="仿宋_GB2312" w:hAnsi="宋体" w:hint="eastAsia"/>
                <w:b/>
                <w:sz w:val="24"/>
              </w:rPr>
              <w:t>年  月  日</w:t>
            </w:r>
          </w:p>
          <w:p w14:paraId="01C5CFD0" w14:textId="77777777" w:rsidR="009907C0" w:rsidRDefault="00000000">
            <w:pPr>
              <w:spacing w:line="300" w:lineRule="auto"/>
              <w:jc w:val="right"/>
              <w:rPr>
                <w:rFonts w:ascii="仿宋_GB2312" w:eastAsia="仿宋_GB2312" w:hAnsi="宋体" w:hint="eastAsia"/>
                <w:szCs w:val="21"/>
              </w:rPr>
            </w:pPr>
            <w:r>
              <w:rPr>
                <w:rFonts w:ascii="仿宋_GB2312" w:eastAsia="仿宋_GB2312" w:hAnsi="宋体" w:hint="eastAsia"/>
                <w:sz w:val="24"/>
              </w:rPr>
              <w:t>（学院盖章）</w:t>
            </w:r>
          </w:p>
        </w:tc>
      </w:tr>
      <w:tr w:rsidR="009907C0" w14:paraId="66A83C33" w14:textId="77777777">
        <w:trPr>
          <w:trHeight w:val="4806"/>
          <w:jc w:val="center"/>
        </w:trPr>
        <w:tc>
          <w:tcPr>
            <w:tcW w:w="481" w:type="dxa"/>
            <w:tcBorders>
              <w:top w:val="single" w:sz="4" w:space="0" w:color="auto"/>
              <w:left w:val="single" w:sz="4" w:space="0" w:color="auto"/>
              <w:bottom w:val="single" w:sz="4" w:space="0" w:color="auto"/>
              <w:right w:val="single" w:sz="4" w:space="0" w:color="auto"/>
            </w:tcBorders>
            <w:vAlign w:val="center"/>
          </w:tcPr>
          <w:p w14:paraId="5E6B6216" w14:textId="77777777" w:rsidR="009907C0" w:rsidRDefault="00000000">
            <w:pPr>
              <w:rPr>
                <w:b/>
                <w:sz w:val="24"/>
              </w:rPr>
            </w:pPr>
            <w:r>
              <w:rPr>
                <w:rFonts w:hint="eastAsia"/>
                <w:b/>
                <w:sz w:val="24"/>
              </w:rPr>
              <w:t>学校意见</w:t>
            </w:r>
          </w:p>
        </w:tc>
        <w:tc>
          <w:tcPr>
            <w:tcW w:w="9458" w:type="dxa"/>
            <w:tcBorders>
              <w:top w:val="single" w:sz="4" w:space="0" w:color="auto"/>
              <w:left w:val="single" w:sz="4" w:space="0" w:color="auto"/>
              <w:bottom w:val="single" w:sz="4" w:space="0" w:color="auto"/>
              <w:right w:val="single" w:sz="4" w:space="0" w:color="auto"/>
            </w:tcBorders>
          </w:tcPr>
          <w:p w14:paraId="589ED868" w14:textId="77777777" w:rsidR="009907C0" w:rsidRDefault="009907C0">
            <w:pPr>
              <w:spacing w:line="300" w:lineRule="auto"/>
              <w:rPr>
                <w:rFonts w:ascii="宋体" w:hAnsi="宋体" w:hint="eastAsia"/>
                <w:sz w:val="24"/>
                <w:szCs w:val="21"/>
              </w:rPr>
            </w:pPr>
          </w:p>
          <w:p w14:paraId="60E0F5A1" w14:textId="77777777" w:rsidR="009907C0" w:rsidRDefault="009907C0">
            <w:pPr>
              <w:spacing w:line="300" w:lineRule="auto"/>
              <w:rPr>
                <w:rFonts w:ascii="宋体" w:hAnsi="宋体" w:hint="eastAsia"/>
                <w:sz w:val="24"/>
                <w:szCs w:val="21"/>
              </w:rPr>
            </w:pPr>
          </w:p>
          <w:p w14:paraId="313C1840" w14:textId="77777777" w:rsidR="009907C0" w:rsidRDefault="009907C0">
            <w:pPr>
              <w:spacing w:line="300" w:lineRule="auto"/>
              <w:rPr>
                <w:rFonts w:ascii="宋体" w:hAnsi="宋体" w:hint="eastAsia"/>
                <w:sz w:val="24"/>
                <w:szCs w:val="21"/>
              </w:rPr>
            </w:pPr>
          </w:p>
          <w:p w14:paraId="697B2544" w14:textId="77777777" w:rsidR="009907C0" w:rsidRDefault="009907C0">
            <w:pPr>
              <w:spacing w:line="300" w:lineRule="auto"/>
              <w:rPr>
                <w:rFonts w:ascii="宋体" w:hAnsi="宋体" w:hint="eastAsia"/>
                <w:sz w:val="24"/>
                <w:szCs w:val="21"/>
              </w:rPr>
            </w:pPr>
          </w:p>
          <w:p w14:paraId="34518FA0" w14:textId="77777777" w:rsidR="009907C0" w:rsidRDefault="009907C0">
            <w:pPr>
              <w:spacing w:line="300" w:lineRule="auto"/>
              <w:rPr>
                <w:rFonts w:ascii="宋体" w:hAnsi="宋体" w:hint="eastAsia"/>
                <w:sz w:val="24"/>
                <w:szCs w:val="21"/>
              </w:rPr>
            </w:pPr>
          </w:p>
          <w:p w14:paraId="37FFB282" w14:textId="77777777" w:rsidR="009907C0" w:rsidRDefault="009907C0">
            <w:pPr>
              <w:spacing w:line="300" w:lineRule="auto"/>
              <w:rPr>
                <w:rFonts w:ascii="宋体" w:hAnsi="宋体" w:hint="eastAsia"/>
                <w:sz w:val="24"/>
                <w:szCs w:val="21"/>
              </w:rPr>
            </w:pPr>
          </w:p>
          <w:p w14:paraId="677006B5" w14:textId="77777777" w:rsidR="009907C0" w:rsidRDefault="009907C0">
            <w:pPr>
              <w:spacing w:line="300" w:lineRule="auto"/>
              <w:rPr>
                <w:rFonts w:ascii="宋体" w:hAnsi="宋体" w:hint="eastAsia"/>
                <w:sz w:val="24"/>
                <w:szCs w:val="21"/>
              </w:rPr>
            </w:pPr>
          </w:p>
          <w:p w14:paraId="4FBE33A8" w14:textId="77777777" w:rsidR="009907C0" w:rsidRDefault="009907C0">
            <w:pPr>
              <w:spacing w:line="300" w:lineRule="auto"/>
              <w:rPr>
                <w:rFonts w:ascii="宋体" w:hAnsi="宋体" w:hint="eastAsia"/>
                <w:sz w:val="24"/>
                <w:szCs w:val="21"/>
              </w:rPr>
            </w:pPr>
          </w:p>
          <w:p w14:paraId="4ED08F12" w14:textId="77777777" w:rsidR="009907C0" w:rsidRDefault="00000000">
            <w:pPr>
              <w:wordWrap w:val="0"/>
              <w:spacing w:afterLines="50" w:after="156" w:line="360" w:lineRule="auto"/>
              <w:jc w:val="right"/>
              <w:rPr>
                <w:rFonts w:ascii="仿宋_GB2312" w:eastAsia="仿宋_GB2312" w:hAnsi="宋体" w:hint="eastAsia"/>
                <w:b/>
                <w:sz w:val="24"/>
              </w:rPr>
            </w:pPr>
            <w:r>
              <w:rPr>
                <w:rFonts w:ascii="仿宋_GB2312" w:eastAsia="仿宋_GB2312" w:hAnsi="宋体" w:hint="eastAsia"/>
                <w:b/>
                <w:sz w:val="24"/>
              </w:rPr>
              <w:t xml:space="preserve">负责人签字：                </w:t>
            </w:r>
          </w:p>
          <w:p w14:paraId="320D739E" w14:textId="77777777" w:rsidR="009907C0" w:rsidRDefault="00000000">
            <w:pPr>
              <w:spacing w:line="300" w:lineRule="auto"/>
              <w:jc w:val="right"/>
              <w:rPr>
                <w:rFonts w:ascii="仿宋_GB2312" w:eastAsia="仿宋_GB2312" w:hAnsi="宋体" w:hint="eastAsia"/>
                <w:b/>
                <w:sz w:val="24"/>
              </w:rPr>
            </w:pPr>
            <w:r>
              <w:rPr>
                <w:rFonts w:ascii="仿宋_GB2312" w:eastAsia="仿宋_GB2312" w:hAnsi="宋体" w:hint="eastAsia"/>
                <w:b/>
                <w:sz w:val="24"/>
              </w:rPr>
              <w:t>年  月  日</w:t>
            </w:r>
          </w:p>
          <w:p w14:paraId="49193237" w14:textId="77777777" w:rsidR="009907C0" w:rsidRDefault="00000000">
            <w:pPr>
              <w:spacing w:line="300" w:lineRule="auto"/>
              <w:jc w:val="right"/>
              <w:rPr>
                <w:rFonts w:ascii="仿宋_GB2312" w:eastAsia="仿宋_GB2312" w:hAnsi="宋体" w:hint="eastAsia"/>
                <w:szCs w:val="21"/>
              </w:rPr>
            </w:pPr>
            <w:r>
              <w:rPr>
                <w:rFonts w:ascii="仿宋_GB2312" w:eastAsia="仿宋_GB2312" w:hAnsi="宋体" w:hint="eastAsia"/>
                <w:sz w:val="24"/>
              </w:rPr>
              <w:t>（盖章）</w:t>
            </w:r>
          </w:p>
        </w:tc>
      </w:tr>
    </w:tbl>
    <w:p w14:paraId="5F1A50A9" w14:textId="77777777" w:rsidR="009907C0" w:rsidRDefault="009907C0"/>
    <w:p w14:paraId="0F953EF6" w14:textId="77777777" w:rsidR="009907C0" w:rsidRDefault="00000000">
      <w:pPr>
        <w:pStyle w:val="2"/>
        <w:jc w:val="center"/>
        <w:rPr>
          <w:rFonts w:ascii="Times New Roman" w:hAnsi="Times New Roman"/>
          <w:snapToGrid w:val="0"/>
          <w:kern w:val="0"/>
        </w:rPr>
      </w:pPr>
      <w:r>
        <w:rPr>
          <w:rFonts w:ascii="仿宋_GB2312" w:eastAsia="仿宋_GB2312" w:hint="eastAsia"/>
        </w:rPr>
        <w:lastRenderedPageBreak/>
        <w:t>附：</w:t>
      </w:r>
      <w:r>
        <w:rPr>
          <w:rFonts w:ascii="Times New Roman" w:hint="eastAsia"/>
          <w:snapToGrid w:val="0"/>
          <w:kern w:val="0"/>
        </w:rPr>
        <w:t>华东理工</w:t>
      </w:r>
      <w:r>
        <w:rPr>
          <w:rFonts w:ascii="Times New Roman"/>
          <w:snapToGrid w:val="0"/>
          <w:kern w:val="0"/>
        </w:rPr>
        <w:t>大学</w:t>
      </w:r>
      <w:r>
        <w:rPr>
          <w:rFonts w:ascii="Times New Roman" w:hint="eastAsia"/>
          <w:snapToGrid w:val="0"/>
          <w:kern w:val="0"/>
        </w:rPr>
        <w:t>“</w:t>
      </w:r>
      <w:r>
        <w:rPr>
          <w:rFonts w:ascii="Times New Roman"/>
          <w:snapToGrid w:val="0"/>
          <w:kern w:val="0"/>
        </w:rPr>
        <w:t>大学生</w:t>
      </w:r>
      <w:r>
        <w:rPr>
          <w:rFonts w:ascii="Times New Roman" w:hint="eastAsia"/>
          <w:snapToGrid w:val="0"/>
          <w:kern w:val="0"/>
        </w:rPr>
        <w:t>创新创业训练</w:t>
      </w:r>
      <w:r>
        <w:rPr>
          <w:rFonts w:ascii="Times New Roman"/>
          <w:snapToGrid w:val="0"/>
          <w:kern w:val="0"/>
        </w:rPr>
        <w:t>计划</w:t>
      </w:r>
      <w:r>
        <w:rPr>
          <w:rFonts w:ascii="Times New Roman" w:hint="eastAsia"/>
          <w:snapToGrid w:val="0"/>
          <w:kern w:val="0"/>
        </w:rPr>
        <w:t>”</w:t>
      </w:r>
      <w:r>
        <w:rPr>
          <w:rFonts w:ascii="Times New Roman"/>
          <w:snapToGrid w:val="0"/>
          <w:kern w:val="0"/>
        </w:rPr>
        <w:t>项目承诺书</w:t>
      </w:r>
    </w:p>
    <w:p w14:paraId="6B9D157E" w14:textId="77777777" w:rsidR="009907C0" w:rsidRDefault="009907C0">
      <w:pPr>
        <w:adjustRightInd w:val="0"/>
        <w:snapToGrid w:val="0"/>
        <w:spacing w:line="360" w:lineRule="auto"/>
        <w:ind w:firstLineChars="212" w:firstLine="509"/>
        <w:rPr>
          <w:rFonts w:ascii="华文隶书" w:eastAsia="华文隶书"/>
          <w:snapToGrid w:val="0"/>
          <w:color w:val="000000"/>
          <w:kern w:val="0"/>
          <w:sz w:val="24"/>
          <w:szCs w:val="23"/>
        </w:rPr>
      </w:pPr>
    </w:p>
    <w:p w14:paraId="044E7079" w14:textId="77777777" w:rsidR="009907C0" w:rsidRDefault="00000000">
      <w:pPr>
        <w:adjustRightInd w:val="0"/>
        <w:snapToGrid w:val="0"/>
        <w:spacing w:line="360" w:lineRule="auto"/>
        <w:ind w:firstLineChars="212" w:firstLine="509"/>
        <w:rPr>
          <w:rFonts w:ascii="仿宋_GB2312" w:eastAsia="仿宋_GB2312"/>
          <w:snapToGrid w:val="0"/>
          <w:color w:val="000000"/>
          <w:kern w:val="0"/>
          <w:sz w:val="24"/>
          <w:szCs w:val="23"/>
        </w:rPr>
      </w:pPr>
      <w:r>
        <w:rPr>
          <w:rFonts w:ascii="仿宋_GB2312" w:eastAsia="仿宋_GB2312" w:hAnsi="宋体" w:hint="eastAsia"/>
          <w:snapToGrid w:val="0"/>
          <w:color w:val="000000"/>
          <w:kern w:val="0"/>
          <w:sz w:val="24"/>
          <w:szCs w:val="23"/>
        </w:rPr>
        <w:t>为确保</w:t>
      </w:r>
      <w:r>
        <w:rPr>
          <w:rFonts w:ascii="仿宋_GB2312" w:eastAsia="仿宋_GB2312" w:hint="eastAsia"/>
          <w:snapToGrid w:val="0"/>
          <w:color w:val="000000"/>
          <w:kern w:val="0"/>
          <w:sz w:val="24"/>
          <w:szCs w:val="23"/>
        </w:rPr>
        <w:t>“</w:t>
      </w:r>
      <w:r>
        <w:rPr>
          <w:rFonts w:ascii="仿宋_GB2312" w:eastAsia="仿宋_GB2312" w:hAnsi="宋体" w:hint="eastAsia"/>
          <w:snapToGrid w:val="0"/>
          <w:color w:val="000000"/>
          <w:kern w:val="0"/>
          <w:sz w:val="24"/>
          <w:szCs w:val="23"/>
        </w:rPr>
        <w:t>大学生创新创业训练计划</w:t>
      </w:r>
      <w:r>
        <w:rPr>
          <w:rFonts w:ascii="仿宋_GB2312" w:eastAsia="仿宋_GB2312" w:hint="eastAsia"/>
          <w:snapToGrid w:val="0"/>
          <w:color w:val="000000"/>
          <w:kern w:val="0"/>
          <w:sz w:val="24"/>
          <w:szCs w:val="23"/>
        </w:rPr>
        <w:t>”项目的</w:t>
      </w:r>
      <w:r>
        <w:rPr>
          <w:rFonts w:ascii="仿宋_GB2312" w:eastAsia="仿宋_GB2312" w:hAnsi="宋体" w:hint="eastAsia"/>
          <w:snapToGrid w:val="0"/>
          <w:color w:val="000000"/>
          <w:kern w:val="0"/>
          <w:sz w:val="24"/>
          <w:szCs w:val="23"/>
        </w:rPr>
        <w:t>顺利实施，本项目承诺遵守以下条款要求：</w:t>
      </w:r>
    </w:p>
    <w:p w14:paraId="503D826F" w14:textId="77777777" w:rsidR="009907C0" w:rsidRDefault="00000000">
      <w:pPr>
        <w:adjustRightInd w:val="0"/>
        <w:snapToGrid w:val="0"/>
        <w:spacing w:line="360" w:lineRule="auto"/>
        <w:ind w:firstLineChars="214" w:firstLine="514"/>
        <w:rPr>
          <w:rFonts w:ascii="仿宋_GB2312" w:eastAsia="仿宋_GB2312"/>
          <w:snapToGrid w:val="0"/>
          <w:color w:val="000000"/>
          <w:kern w:val="0"/>
          <w:sz w:val="24"/>
          <w:szCs w:val="23"/>
        </w:rPr>
      </w:pPr>
      <w:r>
        <w:rPr>
          <w:rFonts w:ascii="仿宋_GB2312" w:eastAsia="仿宋_GB2312" w:hint="eastAsia"/>
          <w:snapToGrid w:val="0"/>
          <w:color w:val="000000"/>
          <w:kern w:val="0"/>
          <w:sz w:val="24"/>
          <w:szCs w:val="23"/>
        </w:rPr>
        <w:t xml:space="preserve">1  </w:t>
      </w:r>
      <w:r>
        <w:rPr>
          <w:rFonts w:ascii="仿宋_GB2312" w:eastAsia="仿宋_GB2312" w:hint="eastAsia"/>
          <w:sz w:val="24"/>
        </w:rPr>
        <w:t>在项目实施的过程中遵守学校有关规定，恪守学术规范，真正做到诚实守信，实事求是；</w:t>
      </w:r>
    </w:p>
    <w:p w14:paraId="62C1CA2B" w14:textId="77777777" w:rsidR="009907C0" w:rsidRDefault="00000000">
      <w:pPr>
        <w:adjustRightInd w:val="0"/>
        <w:snapToGrid w:val="0"/>
        <w:spacing w:line="360" w:lineRule="auto"/>
        <w:ind w:firstLineChars="214" w:firstLine="514"/>
        <w:rPr>
          <w:rFonts w:ascii="仿宋_GB2312" w:eastAsia="仿宋_GB2312"/>
          <w:snapToGrid w:val="0"/>
          <w:color w:val="000000"/>
          <w:kern w:val="0"/>
          <w:sz w:val="24"/>
          <w:szCs w:val="23"/>
        </w:rPr>
      </w:pPr>
      <w:r>
        <w:rPr>
          <w:rFonts w:ascii="仿宋_GB2312" w:eastAsia="仿宋_GB2312" w:hint="eastAsia"/>
          <w:snapToGrid w:val="0"/>
          <w:color w:val="000000"/>
          <w:kern w:val="0"/>
          <w:sz w:val="24"/>
          <w:szCs w:val="23"/>
        </w:rPr>
        <w:t xml:space="preserve">2  </w:t>
      </w:r>
      <w:r>
        <w:rPr>
          <w:rFonts w:ascii="仿宋_GB2312" w:eastAsia="仿宋_GB2312" w:hAnsi="宋体" w:hint="eastAsia"/>
          <w:snapToGrid w:val="0"/>
          <w:color w:val="000000"/>
          <w:kern w:val="0"/>
          <w:sz w:val="24"/>
          <w:szCs w:val="23"/>
        </w:rPr>
        <w:t>项目经费严格按学校</w:t>
      </w:r>
      <w:r>
        <w:rPr>
          <w:rFonts w:ascii="仿宋_GB2312" w:eastAsia="仿宋_GB2312" w:hint="eastAsia"/>
          <w:snapToGrid w:val="0"/>
          <w:color w:val="000000"/>
          <w:kern w:val="0"/>
          <w:sz w:val="24"/>
          <w:szCs w:val="23"/>
        </w:rPr>
        <w:t xml:space="preserve"> “</w:t>
      </w:r>
      <w:r>
        <w:rPr>
          <w:rFonts w:ascii="仿宋_GB2312" w:eastAsia="仿宋_GB2312" w:hAnsi="宋体" w:hint="eastAsia"/>
          <w:snapToGrid w:val="0"/>
          <w:color w:val="000000"/>
          <w:kern w:val="0"/>
          <w:sz w:val="24"/>
          <w:szCs w:val="23"/>
        </w:rPr>
        <w:t>大学生创新创业训练计划</w:t>
      </w:r>
      <w:r>
        <w:rPr>
          <w:rFonts w:ascii="仿宋_GB2312" w:eastAsia="仿宋_GB2312" w:hint="eastAsia"/>
          <w:snapToGrid w:val="0"/>
          <w:color w:val="000000"/>
          <w:kern w:val="0"/>
          <w:sz w:val="24"/>
          <w:szCs w:val="23"/>
        </w:rPr>
        <w:t>”</w:t>
      </w:r>
      <w:r>
        <w:rPr>
          <w:rFonts w:ascii="仿宋_GB2312" w:eastAsia="仿宋_GB2312" w:hAnsi="宋体" w:hint="eastAsia"/>
          <w:snapToGrid w:val="0"/>
          <w:color w:val="000000"/>
          <w:kern w:val="0"/>
          <w:sz w:val="24"/>
          <w:szCs w:val="23"/>
        </w:rPr>
        <w:t>项目管理的有关规定执行，按照专款专用原则，</w:t>
      </w:r>
      <w:r>
        <w:rPr>
          <w:rFonts w:ascii="仿宋_GB2312" w:eastAsia="仿宋_GB2312" w:hint="eastAsia"/>
          <w:sz w:val="24"/>
        </w:rPr>
        <w:t>保证项目经费的有效合理使用</w:t>
      </w:r>
      <w:r>
        <w:rPr>
          <w:rFonts w:ascii="仿宋_GB2312" w:eastAsia="仿宋_GB2312" w:hAnsi="宋体" w:hint="eastAsia"/>
          <w:snapToGrid w:val="0"/>
          <w:color w:val="000000"/>
          <w:kern w:val="0"/>
          <w:sz w:val="24"/>
          <w:szCs w:val="23"/>
        </w:rPr>
        <w:t>；</w:t>
      </w:r>
      <w:r>
        <w:rPr>
          <w:rFonts w:ascii="仿宋_GB2312" w:eastAsia="仿宋_GB2312" w:hint="eastAsia"/>
          <w:snapToGrid w:val="0"/>
          <w:color w:val="000000"/>
          <w:kern w:val="0"/>
          <w:sz w:val="24"/>
          <w:szCs w:val="23"/>
        </w:rPr>
        <w:t xml:space="preserve"> </w:t>
      </w:r>
    </w:p>
    <w:p w14:paraId="3F75B866" w14:textId="77777777" w:rsidR="009907C0" w:rsidRDefault="00000000">
      <w:pPr>
        <w:adjustRightInd w:val="0"/>
        <w:snapToGrid w:val="0"/>
        <w:spacing w:line="360" w:lineRule="auto"/>
        <w:ind w:firstLineChars="214" w:firstLine="514"/>
        <w:rPr>
          <w:rFonts w:ascii="仿宋_GB2312" w:eastAsia="仿宋_GB2312"/>
          <w:snapToGrid w:val="0"/>
          <w:color w:val="000000"/>
          <w:kern w:val="0"/>
          <w:sz w:val="24"/>
          <w:szCs w:val="23"/>
        </w:rPr>
      </w:pPr>
      <w:r>
        <w:rPr>
          <w:rFonts w:ascii="仿宋_GB2312" w:eastAsia="仿宋_GB2312" w:hint="eastAsia"/>
          <w:snapToGrid w:val="0"/>
          <w:color w:val="000000"/>
          <w:kern w:val="0"/>
          <w:sz w:val="24"/>
          <w:szCs w:val="23"/>
        </w:rPr>
        <w:t xml:space="preserve">3  </w:t>
      </w:r>
      <w:r>
        <w:rPr>
          <w:rFonts w:ascii="仿宋_GB2312" w:eastAsia="仿宋_GB2312" w:hAnsi="宋体" w:hint="eastAsia"/>
          <w:snapToGrid w:val="0"/>
          <w:color w:val="000000"/>
          <w:kern w:val="0"/>
          <w:sz w:val="24"/>
          <w:szCs w:val="23"/>
        </w:rPr>
        <w:t>接受学校及学院对本项目的检查与监督；</w:t>
      </w:r>
    </w:p>
    <w:p w14:paraId="223006A9" w14:textId="77777777" w:rsidR="009907C0" w:rsidRDefault="00000000">
      <w:pPr>
        <w:adjustRightInd w:val="0"/>
        <w:snapToGrid w:val="0"/>
        <w:spacing w:line="360" w:lineRule="auto"/>
        <w:ind w:firstLineChars="214" w:firstLine="514"/>
        <w:rPr>
          <w:rFonts w:ascii="仿宋_GB2312" w:eastAsia="仿宋_GB2312"/>
          <w:sz w:val="24"/>
        </w:rPr>
      </w:pPr>
      <w:r>
        <w:rPr>
          <w:rFonts w:ascii="仿宋_GB2312" w:eastAsia="仿宋_GB2312" w:hint="eastAsia"/>
          <w:snapToGrid w:val="0"/>
          <w:color w:val="000000"/>
          <w:kern w:val="0"/>
          <w:sz w:val="24"/>
          <w:szCs w:val="23"/>
        </w:rPr>
        <w:t>4</w:t>
      </w:r>
      <w:r>
        <w:rPr>
          <w:rFonts w:ascii="仿宋_GB2312" w:eastAsia="仿宋_GB2312" w:hAnsi="宋体" w:hint="eastAsia"/>
          <w:snapToGrid w:val="0"/>
          <w:color w:val="000000"/>
          <w:kern w:val="0"/>
          <w:sz w:val="24"/>
          <w:szCs w:val="23"/>
        </w:rPr>
        <w:t>．</w:t>
      </w:r>
      <w:r>
        <w:rPr>
          <w:rFonts w:ascii="仿宋_GB2312" w:eastAsia="仿宋_GB2312" w:hint="eastAsia"/>
          <w:sz w:val="24"/>
        </w:rPr>
        <w:t>保证研究项目的有序进行，并按华东理工大学“大学生创新创业训练计划”项目管理办法的要求</w:t>
      </w:r>
      <w:r>
        <w:rPr>
          <w:rFonts w:ascii="仿宋_GB2312" w:eastAsia="仿宋_GB2312" w:hAnsi="宋体" w:hint="eastAsia"/>
          <w:sz w:val="24"/>
        </w:rPr>
        <w:t>，接受学校的中期检查。</w:t>
      </w:r>
    </w:p>
    <w:p w14:paraId="277C4090" w14:textId="77777777" w:rsidR="009907C0" w:rsidRDefault="00000000">
      <w:pPr>
        <w:adjustRightInd w:val="0"/>
        <w:snapToGrid w:val="0"/>
        <w:spacing w:line="360" w:lineRule="auto"/>
        <w:ind w:firstLineChars="214" w:firstLine="514"/>
        <w:rPr>
          <w:rFonts w:ascii="仿宋_GB2312" w:eastAsia="仿宋_GB2312"/>
          <w:snapToGrid w:val="0"/>
          <w:color w:val="000000"/>
          <w:kern w:val="0"/>
          <w:sz w:val="24"/>
          <w:szCs w:val="23"/>
        </w:rPr>
      </w:pPr>
      <w:r>
        <w:rPr>
          <w:rFonts w:ascii="仿宋_GB2312" w:eastAsia="仿宋_GB2312" w:hint="eastAsia"/>
          <w:sz w:val="24"/>
        </w:rPr>
        <w:t xml:space="preserve">5  </w:t>
      </w:r>
      <w:r>
        <w:rPr>
          <w:rFonts w:ascii="仿宋_GB2312" w:eastAsia="仿宋_GB2312" w:hAnsi="宋体" w:hint="eastAsia"/>
          <w:sz w:val="24"/>
        </w:rPr>
        <w:t>按期完成研究项目</w:t>
      </w:r>
      <w:r>
        <w:rPr>
          <w:rFonts w:ascii="仿宋_GB2312" w:eastAsia="仿宋_GB2312" w:hAnsi="宋体" w:hint="eastAsia"/>
          <w:sz w:val="24"/>
          <w:szCs w:val="23"/>
        </w:rPr>
        <w:t>并由负责人提交结题报告及有关研究成果、</w:t>
      </w:r>
      <w:r>
        <w:rPr>
          <w:rFonts w:ascii="仿宋_GB2312" w:eastAsia="仿宋_GB2312" w:hAnsi="宋体" w:hint="eastAsia"/>
          <w:snapToGrid w:val="0"/>
          <w:color w:val="000000"/>
          <w:kern w:val="0"/>
          <w:sz w:val="24"/>
          <w:szCs w:val="23"/>
        </w:rPr>
        <w:t>项目经费决算（</w:t>
      </w:r>
      <w:proofErr w:type="gramStart"/>
      <w:r>
        <w:rPr>
          <w:rFonts w:ascii="仿宋_GB2312" w:eastAsia="仿宋_GB2312" w:hAnsi="宋体" w:hint="eastAsia"/>
          <w:snapToGrid w:val="0"/>
          <w:color w:val="000000"/>
          <w:kern w:val="0"/>
          <w:sz w:val="24"/>
          <w:szCs w:val="23"/>
        </w:rPr>
        <w:t>含使用</w:t>
      </w:r>
      <w:proofErr w:type="gramEnd"/>
      <w:r>
        <w:rPr>
          <w:rFonts w:ascii="仿宋_GB2312" w:eastAsia="仿宋_GB2312" w:hAnsi="宋体" w:hint="eastAsia"/>
          <w:snapToGrid w:val="0"/>
          <w:color w:val="000000"/>
          <w:kern w:val="0"/>
          <w:sz w:val="24"/>
          <w:szCs w:val="23"/>
        </w:rPr>
        <w:t>明细）、等材料，并且归还仪器设备、工具、资料等；</w:t>
      </w:r>
    </w:p>
    <w:p w14:paraId="64C58C82" w14:textId="77777777" w:rsidR="009907C0" w:rsidRDefault="00000000">
      <w:pPr>
        <w:adjustRightInd w:val="0"/>
        <w:snapToGrid w:val="0"/>
        <w:spacing w:line="360" w:lineRule="auto"/>
        <w:ind w:firstLineChars="214" w:firstLine="514"/>
        <w:rPr>
          <w:rFonts w:ascii="仿宋_GB2312" w:eastAsia="仿宋_GB2312"/>
          <w:snapToGrid w:val="0"/>
          <w:color w:val="000000"/>
          <w:kern w:val="0"/>
          <w:sz w:val="24"/>
          <w:szCs w:val="23"/>
        </w:rPr>
      </w:pPr>
      <w:r>
        <w:rPr>
          <w:rFonts w:ascii="仿宋_GB2312" w:eastAsia="仿宋_GB2312" w:hint="eastAsia"/>
          <w:snapToGrid w:val="0"/>
          <w:color w:val="000000"/>
          <w:kern w:val="0"/>
          <w:sz w:val="24"/>
          <w:szCs w:val="23"/>
        </w:rPr>
        <w:t xml:space="preserve">6  </w:t>
      </w:r>
      <w:r>
        <w:rPr>
          <w:rFonts w:ascii="仿宋_GB2312" w:eastAsia="仿宋_GB2312" w:hAnsi="宋体" w:hint="eastAsia"/>
          <w:snapToGrid w:val="0"/>
          <w:color w:val="000000"/>
          <w:kern w:val="0"/>
          <w:sz w:val="24"/>
          <w:szCs w:val="23"/>
        </w:rPr>
        <w:t>因主观原因致使项目无法执行的，将根据实际情况退回全部或部分资助经费；</w:t>
      </w:r>
    </w:p>
    <w:p w14:paraId="09AC39E9" w14:textId="77777777" w:rsidR="009907C0" w:rsidRDefault="00000000">
      <w:pPr>
        <w:adjustRightInd w:val="0"/>
        <w:snapToGrid w:val="0"/>
        <w:spacing w:line="360" w:lineRule="auto"/>
        <w:ind w:firstLineChars="214" w:firstLine="514"/>
        <w:rPr>
          <w:rFonts w:ascii="仿宋_GB2312" w:eastAsia="仿宋_GB2312"/>
          <w:snapToGrid w:val="0"/>
          <w:color w:val="000000"/>
          <w:kern w:val="0"/>
          <w:sz w:val="24"/>
          <w:szCs w:val="23"/>
        </w:rPr>
      </w:pPr>
      <w:r>
        <w:rPr>
          <w:rFonts w:ascii="仿宋_GB2312" w:eastAsia="仿宋_GB2312" w:hint="eastAsia"/>
          <w:snapToGrid w:val="0"/>
          <w:color w:val="000000"/>
          <w:kern w:val="0"/>
          <w:sz w:val="24"/>
          <w:szCs w:val="23"/>
        </w:rPr>
        <w:t xml:space="preserve">7  </w:t>
      </w:r>
      <w:r>
        <w:rPr>
          <w:rFonts w:ascii="仿宋_GB2312" w:eastAsia="仿宋_GB2312" w:hAnsi="宋体" w:hint="eastAsia"/>
          <w:snapToGrid w:val="0"/>
          <w:color w:val="000000"/>
          <w:kern w:val="0"/>
          <w:sz w:val="24"/>
          <w:szCs w:val="23"/>
        </w:rPr>
        <w:t>研究成果如果需要按技术秘密进行保密的，项目负责人及指导教师应制定具体方案并报学校批准；</w:t>
      </w:r>
    </w:p>
    <w:p w14:paraId="2F365B97" w14:textId="77777777" w:rsidR="009907C0" w:rsidRDefault="00000000">
      <w:pPr>
        <w:adjustRightInd w:val="0"/>
        <w:snapToGrid w:val="0"/>
        <w:spacing w:line="360" w:lineRule="auto"/>
        <w:ind w:firstLineChars="214" w:firstLine="514"/>
        <w:rPr>
          <w:rFonts w:ascii="仿宋_GB2312" w:eastAsia="仿宋_GB2312"/>
          <w:snapToGrid w:val="0"/>
          <w:color w:val="000000"/>
          <w:kern w:val="0"/>
          <w:sz w:val="24"/>
          <w:szCs w:val="23"/>
        </w:rPr>
      </w:pPr>
      <w:r>
        <w:rPr>
          <w:rFonts w:ascii="仿宋_GB2312" w:eastAsia="仿宋_GB2312" w:hint="eastAsia"/>
          <w:snapToGrid w:val="0"/>
          <w:color w:val="000000"/>
          <w:kern w:val="0"/>
          <w:sz w:val="24"/>
          <w:szCs w:val="23"/>
        </w:rPr>
        <w:t xml:space="preserve">8  </w:t>
      </w:r>
      <w:r>
        <w:rPr>
          <w:rFonts w:ascii="仿宋_GB2312" w:eastAsia="仿宋_GB2312" w:hAnsi="宋体" w:hint="eastAsia"/>
          <w:snapToGrid w:val="0"/>
          <w:color w:val="000000"/>
          <w:kern w:val="0"/>
          <w:sz w:val="24"/>
          <w:szCs w:val="23"/>
        </w:rPr>
        <w:t>凡研究工作有发明创造，经学校科研院审查符合条件的，可由科研院协助申报专利，以保护知识产权，维护学校的合法权益；</w:t>
      </w:r>
    </w:p>
    <w:p w14:paraId="4F0F70DC" w14:textId="351388B2" w:rsidR="009907C0" w:rsidRDefault="00000000" w:rsidP="00952185">
      <w:pPr>
        <w:adjustRightInd w:val="0"/>
        <w:snapToGrid w:val="0"/>
        <w:spacing w:line="360" w:lineRule="auto"/>
        <w:ind w:firstLineChars="214" w:firstLine="514"/>
        <w:rPr>
          <w:rFonts w:ascii="仿宋_GB2312" w:eastAsia="仿宋_GB2312" w:hint="eastAsia"/>
          <w:snapToGrid w:val="0"/>
          <w:color w:val="000000"/>
          <w:kern w:val="0"/>
          <w:sz w:val="24"/>
          <w:szCs w:val="23"/>
        </w:rPr>
      </w:pPr>
      <w:r>
        <w:rPr>
          <w:rFonts w:ascii="仿宋_GB2312" w:eastAsia="仿宋_GB2312" w:hint="eastAsia"/>
          <w:snapToGrid w:val="0"/>
          <w:color w:val="000000"/>
          <w:kern w:val="0"/>
          <w:sz w:val="24"/>
          <w:szCs w:val="23"/>
        </w:rPr>
        <w:t xml:space="preserve">9  </w:t>
      </w:r>
      <w:proofErr w:type="gramStart"/>
      <w:r>
        <w:rPr>
          <w:rFonts w:ascii="仿宋_GB2312" w:eastAsia="仿宋_GB2312" w:hAnsi="宋体" w:hint="eastAsia"/>
          <w:snapToGrid w:val="0"/>
          <w:color w:val="000000"/>
          <w:kern w:val="0"/>
          <w:sz w:val="24"/>
          <w:szCs w:val="23"/>
        </w:rPr>
        <w:t>本承诺</w:t>
      </w:r>
      <w:proofErr w:type="gramEnd"/>
      <w:r>
        <w:rPr>
          <w:rFonts w:ascii="仿宋_GB2312" w:eastAsia="仿宋_GB2312" w:hAnsi="宋体" w:hint="eastAsia"/>
          <w:snapToGrid w:val="0"/>
          <w:color w:val="000000"/>
          <w:kern w:val="0"/>
          <w:sz w:val="24"/>
          <w:szCs w:val="23"/>
        </w:rPr>
        <w:t>书由本项目全体成员及指导老师签字并</w:t>
      </w:r>
      <w:proofErr w:type="gramStart"/>
      <w:r>
        <w:rPr>
          <w:rFonts w:ascii="仿宋_GB2312" w:eastAsia="仿宋_GB2312" w:hAnsi="宋体" w:hint="eastAsia"/>
          <w:snapToGrid w:val="0"/>
          <w:color w:val="000000"/>
          <w:kern w:val="0"/>
          <w:sz w:val="24"/>
          <w:szCs w:val="23"/>
        </w:rPr>
        <w:t>经创新</w:t>
      </w:r>
      <w:proofErr w:type="gramEnd"/>
      <w:r>
        <w:rPr>
          <w:rFonts w:ascii="仿宋_GB2312" w:eastAsia="仿宋_GB2312" w:hAnsi="宋体" w:hint="eastAsia"/>
          <w:snapToGrid w:val="0"/>
          <w:color w:val="000000"/>
          <w:kern w:val="0"/>
          <w:sz w:val="24"/>
          <w:szCs w:val="23"/>
        </w:rPr>
        <w:t>创业教育中心确认后生效，如有违反，愿承担相应责任。</w:t>
      </w:r>
    </w:p>
    <w:p w14:paraId="1E697A1F" w14:textId="3D7BF489" w:rsidR="009907C0" w:rsidRDefault="00000000">
      <w:pPr>
        <w:adjustRightInd w:val="0"/>
        <w:snapToGrid w:val="0"/>
        <w:spacing w:line="360" w:lineRule="auto"/>
        <w:ind w:firstLineChars="200" w:firstLine="480"/>
        <w:rPr>
          <w:rFonts w:ascii="仿宋_GB2312" w:eastAsia="仿宋_GB2312"/>
          <w:snapToGrid w:val="0"/>
          <w:color w:val="000000"/>
          <w:kern w:val="0"/>
          <w:sz w:val="24"/>
          <w:szCs w:val="23"/>
        </w:rPr>
      </w:pPr>
      <w:r>
        <w:rPr>
          <w:rFonts w:ascii="仿宋_GB2312" w:eastAsia="仿宋_GB2312" w:hAnsi="宋体" w:hint="eastAsia"/>
          <w:snapToGrid w:val="0"/>
          <w:color w:val="000000"/>
          <w:kern w:val="0"/>
          <w:sz w:val="24"/>
          <w:szCs w:val="23"/>
        </w:rPr>
        <w:t>项目成员（签字）：</w:t>
      </w:r>
      <w:r w:rsidR="00952185">
        <w:rPr>
          <w:rFonts w:ascii="仿宋_GB2312" w:eastAsia="仿宋_GB2312" w:hint="eastAsia"/>
          <w:snapToGrid w:val="0"/>
          <w:color w:val="000000"/>
          <w:kern w:val="0"/>
          <w:sz w:val="24"/>
          <w:szCs w:val="23"/>
        </w:rPr>
        <w:pict w14:anchorId="4D245D21">
          <v:shape id="_x0000_i1029" type="#_x0000_t75" style="width:60.6pt;height:33.6pt">
            <v:imagedata r:id="rId9" o:title="" cropright="19765f"/>
          </v:shape>
        </w:pict>
      </w:r>
      <w:r w:rsidR="00652585">
        <w:rPr>
          <w:rFonts w:ascii="仿宋_GB2312" w:eastAsia="仿宋_GB2312" w:hint="eastAsia"/>
          <w:snapToGrid w:val="0"/>
          <w:color w:val="000000"/>
          <w:kern w:val="0"/>
          <w:sz w:val="24"/>
          <w:szCs w:val="23"/>
        </w:rPr>
        <w:pict w14:anchorId="1EA0A5B8">
          <v:shape id="_x0000_i1048" type="#_x0000_t75" style="width:79.2pt;height:27.6pt">
            <v:imagedata r:id="rId10" o:title="877709159027624904"/>
          </v:shape>
        </w:pict>
      </w:r>
      <w:r w:rsidR="00B25939">
        <w:rPr>
          <w:rFonts w:ascii="仿宋_GB2312" w:eastAsia="仿宋_GB2312" w:hint="eastAsia"/>
          <w:snapToGrid w:val="0"/>
          <w:color w:val="000000"/>
          <w:kern w:val="0"/>
          <w:sz w:val="24"/>
          <w:szCs w:val="23"/>
        </w:rPr>
        <w:pict w14:anchorId="544B8058">
          <v:shape id="_x0000_i1037" type="#_x0000_t75" style="width:54pt;height:28.8pt">
            <v:imagedata r:id="rId11" o:title="112691157370390000"/>
          </v:shape>
        </w:pict>
      </w:r>
      <w:r w:rsidR="0037547C">
        <w:rPr>
          <w:rFonts w:ascii="仿宋_GB2312" w:eastAsia="仿宋_GB2312" w:hint="eastAsia"/>
          <w:snapToGrid w:val="0"/>
          <w:color w:val="000000"/>
          <w:kern w:val="0"/>
          <w:sz w:val="24"/>
          <w:szCs w:val="23"/>
        </w:rPr>
        <w:pict w14:anchorId="4838DF6B">
          <v:shape id="_x0000_i1040" type="#_x0000_t75" style="width:73.2pt;height:29.4pt">
            <v:imagedata r:id="rId12" o:title="385538494969408725" croptop="23729f" cropbottom=".25"/>
          </v:shape>
        </w:pict>
      </w:r>
    </w:p>
    <w:p w14:paraId="4F7EB4B4" w14:textId="28266CD4" w:rsidR="009907C0" w:rsidRDefault="00000000">
      <w:pPr>
        <w:tabs>
          <w:tab w:val="right" w:pos="9070"/>
        </w:tabs>
        <w:adjustRightInd w:val="0"/>
        <w:snapToGrid w:val="0"/>
        <w:spacing w:line="360" w:lineRule="auto"/>
        <w:ind w:firstLineChars="200" w:firstLine="480"/>
        <w:rPr>
          <w:rFonts w:ascii="仿宋_GB2312" w:eastAsia="仿宋_GB2312"/>
          <w:snapToGrid w:val="0"/>
          <w:color w:val="000000"/>
          <w:kern w:val="0"/>
          <w:sz w:val="24"/>
          <w:szCs w:val="23"/>
        </w:rPr>
      </w:pPr>
      <w:r>
        <w:rPr>
          <w:rFonts w:ascii="仿宋_GB2312" w:eastAsia="仿宋_GB2312" w:hAnsi="宋体" w:hint="eastAsia"/>
          <w:snapToGrid w:val="0"/>
          <w:color w:val="000000"/>
          <w:kern w:val="0"/>
          <w:sz w:val="24"/>
          <w:szCs w:val="23"/>
        </w:rPr>
        <w:t>指导教师（签字）：</w:t>
      </w:r>
      <w:r w:rsidR="00952185">
        <w:pict w14:anchorId="50640526">
          <v:shape id="_x0000_i1028" type="#_x0000_t75" style="width:60pt;height:34.8pt">
            <v:imagedata r:id="rId8" o:title="徐首红"/>
          </v:shape>
        </w:pict>
      </w:r>
    </w:p>
    <w:p w14:paraId="4AE73522" w14:textId="77777777" w:rsidR="009907C0" w:rsidRDefault="009907C0">
      <w:pPr>
        <w:adjustRightInd w:val="0"/>
        <w:snapToGrid w:val="0"/>
        <w:spacing w:line="360" w:lineRule="auto"/>
        <w:ind w:leftChars="1971" w:left="4139" w:firstLineChars="900" w:firstLine="2160"/>
        <w:rPr>
          <w:rFonts w:ascii="仿宋_GB2312" w:eastAsia="仿宋_GB2312"/>
          <w:snapToGrid w:val="0"/>
          <w:color w:val="000000"/>
          <w:kern w:val="0"/>
          <w:sz w:val="24"/>
          <w:szCs w:val="23"/>
        </w:rPr>
      </w:pPr>
    </w:p>
    <w:p w14:paraId="22EE27BB" w14:textId="25A04CAC" w:rsidR="009907C0" w:rsidRDefault="00952185">
      <w:pPr>
        <w:wordWrap w:val="0"/>
        <w:adjustRightInd w:val="0"/>
        <w:snapToGrid w:val="0"/>
        <w:spacing w:line="360" w:lineRule="auto"/>
        <w:ind w:leftChars="1971" w:left="4139" w:firstLineChars="900" w:firstLine="2160"/>
        <w:jc w:val="right"/>
        <w:rPr>
          <w:rFonts w:ascii="仿宋_GB2312" w:eastAsia="仿宋_GB2312"/>
          <w:snapToGrid w:val="0"/>
          <w:color w:val="000000"/>
          <w:kern w:val="0"/>
          <w:sz w:val="24"/>
          <w:szCs w:val="23"/>
        </w:rPr>
      </w:pPr>
      <w:r>
        <w:rPr>
          <w:rFonts w:ascii="仿宋_GB2312" w:eastAsia="仿宋_GB2312" w:hint="eastAsia"/>
          <w:snapToGrid w:val="0"/>
          <w:color w:val="000000"/>
          <w:kern w:val="0"/>
          <w:sz w:val="24"/>
          <w:szCs w:val="23"/>
        </w:rPr>
        <w:t>2024</w:t>
      </w:r>
      <w:r w:rsidR="00000000">
        <w:rPr>
          <w:rFonts w:ascii="仿宋_GB2312" w:eastAsia="仿宋_GB2312" w:hint="eastAsia"/>
          <w:snapToGrid w:val="0"/>
          <w:color w:val="000000"/>
          <w:kern w:val="0"/>
          <w:sz w:val="24"/>
          <w:szCs w:val="23"/>
        </w:rPr>
        <w:t>年</w:t>
      </w:r>
      <w:r>
        <w:rPr>
          <w:rFonts w:ascii="仿宋_GB2312" w:eastAsia="仿宋_GB2312" w:hint="eastAsia"/>
          <w:snapToGrid w:val="0"/>
          <w:color w:val="000000"/>
          <w:kern w:val="0"/>
          <w:sz w:val="24"/>
          <w:szCs w:val="23"/>
        </w:rPr>
        <w:t>11</w:t>
      </w:r>
      <w:r w:rsidR="00000000">
        <w:rPr>
          <w:rFonts w:ascii="仿宋_GB2312" w:eastAsia="仿宋_GB2312" w:hint="eastAsia"/>
          <w:snapToGrid w:val="0"/>
          <w:color w:val="000000"/>
          <w:kern w:val="0"/>
          <w:sz w:val="24"/>
          <w:szCs w:val="23"/>
        </w:rPr>
        <w:t>月</w:t>
      </w:r>
      <w:r>
        <w:rPr>
          <w:rFonts w:ascii="仿宋_GB2312" w:eastAsia="仿宋_GB2312" w:hint="eastAsia"/>
          <w:snapToGrid w:val="0"/>
          <w:color w:val="000000"/>
          <w:kern w:val="0"/>
          <w:sz w:val="24"/>
          <w:szCs w:val="23"/>
        </w:rPr>
        <w:t>12</w:t>
      </w:r>
      <w:r w:rsidR="00000000">
        <w:rPr>
          <w:rFonts w:ascii="仿宋_GB2312" w:eastAsia="仿宋_GB2312" w:hint="eastAsia"/>
          <w:snapToGrid w:val="0"/>
          <w:color w:val="000000"/>
          <w:kern w:val="0"/>
          <w:sz w:val="24"/>
          <w:szCs w:val="23"/>
        </w:rPr>
        <w:t>日</w:t>
      </w:r>
    </w:p>
    <w:p w14:paraId="2576E443" w14:textId="77777777" w:rsidR="009907C0" w:rsidRDefault="009907C0">
      <w:pPr>
        <w:tabs>
          <w:tab w:val="left" w:pos="540"/>
        </w:tabs>
        <w:adjustRightInd w:val="0"/>
        <w:snapToGrid w:val="0"/>
        <w:spacing w:line="360" w:lineRule="auto"/>
        <w:ind w:leftChars="1971" w:left="4139" w:firstLineChars="700" w:firstLine="1680"/>
        <w:rPr>
          <w:rFonts w:ascii="仿宋_GB2312" w:eastAsia="仿宋_GB2312"/>
          <w:snapToGrid w:val="0"/>
          <w:color w:val="000000"/>
          <w:kern w:val="0"/>
          <w:sz w:val="24"/>
          <w:szCs w:val="23"/>
        </w:rPr>
      </w:pPr>
    </w:p>
    <w:p w14:paraId="5D1FA213" w14:textId="77777777" w:rsidR="009907C0" w:rsidRDefault="009907C0">
      <w:pPr>
        <w:tabs>
          <w:tab w:val="left" w:pos="540"/>
        </w:tabs>
        <w:adjustRightInd w:val="0"/>
        <w:snapToGrid w:val="0"/>
        <w:spacing w:line="360" w:lineRule="auto"/>
        <w:ind w:leftChars="1971" w:left="4139" w:firstLineChars="700" w:firstLine="1680"/>
        <w:rPr>
          <w:rFonts w:ascii="仿宋_GB2312" w:eastAsia="仿宋_GB2312"/>
          <w:snapToGrid w:val="0"/>
          <w:color w:val="000000"/>
          <w:kern w:val="0"/>
          <w:sz w:val="24"/>
          <w:szCs w:val="23"/>
        </w:rPr>
      </w:pPr>
    </w:p>
    <w:p w14:paraId="62F72A30" w14:textId="77777777" w:rsidR="009907C0" w:rsidRDefault="00000000">
      <w:pPr>
        <w:adjustRightInd w:val="0"/>
        <w:snapToGrid w:val="0"/>
        <w:spacing w:line="360" w:lineRule="auto"/>
        <w:ind w:leftChars="1" w:left="933" w:hangingChars="388" w:hanging="931"/>
        <w:rPr>
          <w:rFonts w:ascii="仿宋_GB2312" w:eastAsia="仿宋_GB2312"/>
          <w:sz w:val="32"/>
        </w:rPr>
      </w:pPr>
      <w:r>
        <w:rPr>
          <w:rFonts w:ascii="仿宋_GB2312" w:eastAsia="仿宋_GB2312" w:hAnsi="宋体" w:hint="eastAsia"/>
          <w:snapToGrid w:val="0"/>
          <w:color w:val="000000"/>
          <w:kern w:val="0"/>
          <w:sz w:val="24"/>
          <w:szCs w:val="23"/>
        </w:rPr>
        <w:t>说明</w:t>
      </w:r>
      <w:r>
        <w:rPr>
          <w:rFonts w:ascii="仿宋_GB2312" w:eastAsia="仿宋_GB2312" w:hint="eastAsia"/>
          <w:snapToGrid w:val="0"/>
          <w:color w:val="000000"/>
          <w:kern w:val="0"/>
          <w:sz w:val="24"/>
          <w:szCs w:val="23"/>
        </w:rPr>
        <w:t xml:space="preserve">：  </w:t>
      </w:r>
      <w:proofErr w:type="gramStart"/>
      <w:r>
        <w:rPr>
          <w:rFonts w:ascii="仿宋_GB2312" w:eastAsia="仿宋_GB2312" w:hAnsi="宋体" w:hint="eastAsia"/>
          <w:snapToGrid w:val="0"/>
          <w:color w:val="000000"/>
          <w:kern w:val="0"/>
          <w:sz w:val="24"/>
          <w:szCs w:val="23"/>
        </w:rPr>
        <w:t>本承诺</w:t>
      </w:r>
      <w:proofErr w:type="gramEnd"/>
      <w:r>
        <w:rPr>
          <w:rFonts w:ascii="仿宋_GB2312" w:eastAsia="仿宋_GB2312" w:hAnsi="宋体" w:hint="eastAsia"/>
          <w:snapToGrid w:val="0"/>
          <w:color w:val="000000"/>
          <w:kern w:val="0"/>
          <w:sz w:val="24"/>
          <w:szCs w:val="23"/>
        </w:rPr>
        <w:t>书是华东理工大学“大学生创新创业训练计划”项目管理和经费划拨的依据。</w:t>
      </w:r>
    </w:p>
    <w:sectPr w:rsidR="009907C0">
      <w:headerReference w:type="default" r:id="rId13"/>
      <w:footerReference w:type="even" r:id="rId14"/>
      <w:footerReference w:type="default" r:id="rId15"/>
      <w:pgSz w:w="11906" w:h="16838"/>
      <w:pgMar w:top="1134" w:right="1418" w:bottom="1134" w:left="1418" w:header="851" w:footer="992" w:gutter="0"/>
      <w:cols w:space="720"/>
      <w:titlePg/>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84AC7DE" w14:textId="77777777" w:rsidR="00E9186A" w:rsidRDefault="00E9186A">
      <w:r>
        <w:separator/>
      </w:r>
    </w:p>
  </w:endnote>
  <w:endnote w:type="continuationSeparator" w:id="0">
    <w:p w14:paraId="66909414" w14:textId="77777777" w:rsidR="00E9186A" w:rsidRDefault="00E918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华文楷体">
    <w:panose1 w:val="02010600040101010101"/>
    <w:charset w:val="86"/>
    <w:family w:val="auto"/>
    <w:pitch w:val="variable"/>
    <w:sig w:usb0="00000287" w:usb1="080F0000" w:usb2="00000010" w:usb3="00000000" w:csb0="0004009F" w:csb1="00000000"/>
  </w:font>
  <w:font w:name="仿宋_GB2312">
    <w:altName w:val="仿宋"/>
    <w:charset w:val="86"/>
    <w:family w:val="modern"/>
    <w:pitch w:val="default"/>
    <w:sig w:usb0="00000000" w:usb1="00000000" w:usb2="00000010" w:usb3="00000000" w:csb0="00040000" w:csb1="00000000"/>
  </w:font>
  <w:font w:name="华文中宋">
    <w:panose1 w:val="02010600040101010101"/>
    <w:charset w:val="86"/>
    <w:family w:val="auto"/>
    <w:pitch w:val="variable"/>
    <w:sig w:usb0="00000287" w:usb1="080F0000" w:usb2="00000010" w:usb3="00000000" w:csb0="0004009F" w:csb1="00000000"/>
  </w:font>
  <w:font w:name="方正粗宋简体">
    <w:altName w:val="宋体"/>
    <w:charset w:val="86"/>
    <w:family w:val="script"/>
    <w:pitch w:val="default"/>
    <w:sig w:usb0="00000000" w:usb1="00000000" w:usb2="00000010" w:usb3="00000000" w:csb0="00040000" w:csb1="00000000"/>
  </w:font>
  <w:font w:name="楷体_GB2312">
    <w:altName w:val="楷体"/>
    <w:charset w:val="86"/>
    <w:family w:val="modern"/>
    <w:pitch w:val="default"/>
    <w:sig w:usb0="00000000" w:usb1="00000000" w:usb2="00000010" w:usb3="00000000" w:csb0="00040000" w:csb1="00000000"/>
  </w:font>
  <w:font w:name="GulimChe">
    <w:altName w:val="Malgun Gothic"/>
    <w:charset w:val="81"/>
    <w:family w:val="modern"/>
    <w:pitch w:val="fixed"/>
    <w:sig w:usb0="B00002AF" w:usb1="69D77CFB" w:usb2="00000030" w:usb3="00000000" w:csb0="0008009F" w:csb1="00000000"/>
  </w:font>
  <w:font w:name="微软雅黑">
    <w:panose1 w:val="020B0503020204020204"/>
    <w:charset w:val="86"/>
    <w:family w:val="swiss"/>
    <w:pitch w:val="variable"/>
    <w:sig w:usb0="80000287" w:usb1="2ACF3C50" w:usb2="00000016" w:usb3="00000000" w:csb0="0004001F" w:csb1="00000000"/>
  </w:font>
  <w:font w:name="华文隶书">
    <w:panose1 w:val="02010800040101010101"/>
    <w:charset w:val="86"/>
    <w:family w:val="auto"/>
    <w:pitch w:val="variable"/>
    <w:sig w:usb0="00000001" w:usb1="080F0000" w:usb2="00000010" w:usb3="00000000" w:csb0="00040000"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2F72A35" w14:textId="77777777" w:rsidR="009907C0" w:rsidRDefault="00000000">
    <w:pPr>
      <w:pStyle w:val="aa"/>
      <w:framePr w:wrap="around" w:vAnchor="text" w:hAnchor="margin" w:xAlign="center" w:y="1"/>
      <w:tabs>
        <w:tab w:val="clear" w:pos="4153"/>
        <w:tab w:val="clear" w:pos="8306"/>
      </w:tabs>
    </w:pPr>
    <w:r>
      <w:fldChar w:fldCharType="begin"/>
    </w:r>
    <w:r>
      <w:rPr>
        <w:rStyle w:val="af1"/>
      </w:rPr>
      <w:instrText xml:space="preserve">PAGE  </w:instrText>
    </w:r>
    <w:r>
      <w:fldChar w:fldCharType="end"/>
    </w:r>
  </w:p>
  <w:p w14:paraId="62F72A36" w14:textId="77777777" w:rsidR="009907C0" w:rsidRDefault="009907C0">
    <w:pPr>
      <w:pStyle w:val="aa"/>
      <w:tabs>
        <w:tab w:val="clear" w:pos="4153"/>
        <w:tab w:val="clear" w:pos="8306"/>
      </w:tabs>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2F72A37" w14:textId="77777777" w:rsidR="009907C0" w:rsidRDefault="00000000">
    <w:pPr>
      <w:pStyle w:val="aa"/>
      <w:framePr w:wrap="around" w:vAnchor="text" w:hAnchor="margin" w:xAlign="center" w:y="1"/>
      <w:tabs>
        <w:tab w:val="clear" w:pos="4153"/>
        <w:tab w:val="clear" w:pos="8306"/>
      </w:tabs>
    </w:pPr>
    <w:r>
      <w:fldChar w:fldCharType="begin"/>
    </w:r>
    <w:r>
      <w:rPr>
        <w:rStyle w:val="af1"/>
      </w:rPr>
      <w:instrText xml:space="preserve">PAGE  </w:instrText>
    </w:r>
    <w:r>
      <w:fldChar w:fldCharType="separate"/>
    </w:r>
    <w:r>
      <w:rPr>
        <w:rStyle w:val="af1"/>
      </w:rPr>
      <w:t>- 8 -</w:t>
    </w:r>
    <w:r>
      <w:fldChar w:fldCharType="end"/>
    </w:r>
  </w:p>
  <w:p w14:paraId="62F72A38" w14:textId="77777777" w:rsidR="009907C0" w:rsidRDefault="009907C0">
    <w:pPr>
      <w:pStyle w:val="aa"/>
      <w:tabs>
        <w:tab w:val="clear" w:pos="4153"/>
        <w:tab w:val="clear" w:pos="8306"/>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D56FC8A" w14:textId="77777777" w:rsidR="00E9186A" w:rsidRDefault="00E9186A">
      <w:r>
        <w:separator/>
      </w:r>
    </w:p>
  </w:footnote>
  <w:footnote w:type="continuationSeparator" w:id="0">
    <w:p w14:paraId="55C7C8DF" w14:textId="77777777" w:rsidR="00E9186A" w:rsidRDefault="00E9186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2F72A34" w14:textId="77777777" w:rsidR="009907C0" w:rsidRDefault="009907C0">
    <w:pPr>
      <w:pStyle w:val="ab"/>
      <w:pBdr>
        <w:bottom w:val="none" w:sz="0" w:space="0" w:color="000000"/>
      </w:pBdr>
      <w:tabs>
        <w:tab w:val="clear" w:pos="4153"/>
        <w:tab w:val="clear" w:pos="8306"/>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bordersDoNotSurroundHeader/>
  <w:bordersDoNotSurroundFooter/>
  <w:proofState w:spelling="clean" w:grammar="clean"/>
  <w:stylePaneFormatFilter w:val="FFEF" w:allStyles="1" w:customStyles="1" w:latentStyles="1" w:stylesInUse="1" w:headingStyles="1" w:numberingStyles="1" w:tableStyles="1" w:directFormattingOnRuns="1" w:directFormattingOnParagraphs="1" w:directFormattingOnNumbering="1" w:directFormattingOnTables="1" w:clearFormatting="1" w:top3HeadingStyles="1" w:visibleStyles="1" w:alternateStyleNames="1"/>
  <w:doNotTrackMoves/>
  <w:defaultTabStop w:val="420"/>
  <w:noPunctuationKerning/>
  <w:characterSpacingControl w:val="compressPunctuation"/>
  <w:hdrShapeDefaults>
    <o:shapedefaults v:ext="edit" spidmax="2050"/>
  </w:hdrShapeDefaults>
  <w:footnotePr>
    <w:footnote w:id="-1"/>
    <w:footnote w:id="0"/>
  </w:footnotePr>
  <w:endnotePr>
    <w:endnote w:id="-1"/>
    <w:endnote w:id="0"/>
  </w:endnotePr>
  <w:compat>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docVars>
    <w:docVar w:name="commondata" w:val="eyJoZGlkIjoiMDlhNzY1YzM0YmFjN2VhZTE5ODlhNmU3NDM0NzE5NTIifQ=="/>
  </w:docVars>
  <w:rsids>
    <w:rsidRoot w:val="00C37926"/>
    <w:rsid w:val="00032B2D"/>
    <w:rsid w:val="000905DE"/>
    <w:rsid w:val="002D7092"/>
    <w:rsid w:val="00322E52"/>
    <w:rsid w:val="00324EE8"/>
    <w:rsid w:val="0034357F"/>
    <w:rsid w:val="0037547C"/>
    <w:rsid w:val="003C4CF3"/>
    <w:rsid w:val="003C6214"/>
    <w:rsid w:val="003F19DB"/>
    <w:rsid w:val="004F7439"/>
    <w:rsid w:val="00605E2C"/>
    <w:rsid w:val="006268E1"/>
    <w:rsid w:val="00652585"/>
    <w:rsid w:val="00654307"/>
    <w:rsid w:val="006B7051"/>
    <w:rsid w:val="0076101F"/>
    <w:rsid w:val="00815887"/>
    <w:rsid w:val="008467DB"/>
    <w:rsid w:val="00873A01"/>
    <w:rsid w:val="00952185"/>
    <w:rsid w:val="009907C0"/>
    <w:rsid w:val="009E22D9"/>
    <w:rsid w:val="00B25939"/>
    <w:rsid w:val="00B77086"/>
    <w:rsid w:val="00BB19C2"/>
    <w:rsid w:val="00C2286F"/>
    <w:rsid w:val="00C37926"/>
    <w:rsid w:val="00C921A3"/>
    <w:rsid w:val="00CC5192"/>
    <w:rsid w:val="00D2399B"/>
    <w:rsid w:val="00DD4E08"/>
    <w:rsid w:val="00E03013"/>
    <w:rsid w:val="00E20231"/>
    <w:rsid w:val="00E9186A"/>
    <w:rsid w:val="00E9734E"/>
    <w:rsid w:val="00EA0BEE"/>
    <w:rsid w:val="00EA6E06"/>
    <w:rsid w:val="00EE592D"/>
    <w:rsid w:val="00F27AC9"/>
    <w:rsid w:val="00F60EF6"/>
    <w:rsid w:val="00FB394F"/>
    <w:rsid w:val="0A2F7010"/>
    <w:rsid w:val="0B8053A7"/>
    <w:rsid w:val="21B300DA"/>
    <w:rsid w:val="285B1B22"/>
    <w:rsid w:val="2AC10D1B"/>
    <w:rsid w:val="377863F8"/>
    <w:rsid w:val="3856536E"/>
    <w:rsid w:val="3A0E134F"/>
    <w:rsid w:val="4CB8115B"/>
    <w:rsid w:val="4F3A6B88"/>
    <w:rsid w:val="552308CD"/>
    <w:rsid w:val="57517576"/>
    <w:rsid w:val="64C51278"/>
    <w:rsid w:val="67E754A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B4ED89"/>
  <w15:docId w15:val="{C7A2A734-B443-41DD-B34C-2FD0E8EAC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uiPriority="0"/>
    <w:lsdException w:name="footer" w:uiPriority="0"/>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uiPriority="0"/>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uiPriority="0" w:qFormat="1"/>
    <w:lsdException w:name="Body Text Indent 3" w:uiPriority="0"/>
    <w:lsdException w:name="Block Text" w:semiHidden="1" w:unhideWhenUsed="1"/>
    <w:lsdException w:name="Hyperlink" w:uiPriority="0" w:qFormat="1"/>
    <w:lsdException w:name="FollowedHyperlink" w:semiHidden="1" w:unhideWhenUsed="1"/>
    <w:lsdException w:name="Strong" w:uiPriority="0" w:qFormat="1"/>
    <w:lsdException w:name="Emphasis" w:uiPriority="20" w:qFormat="1"/>
    <w:lsdException w:name="Document Map" w:uiPriority="0" w:qFormat="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qFormat="1"/>
    <w:lsdException w:name="Table Grid" w:uiPriority="0"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semiHidden="1" w:unhideWhenUsed="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kern w:val="2"/>
      <w:sz w:val="21"/>
      <w:szCs w:val="24"/>
    </w:rPr>
  </w:style>
  <w:style w:type="paragraph" w:styleId="2">
    <w:name w:val="heading 2"/>
    <w:basedOn w:val="a"/>
    <w:next w:val="a"/>
    <w:link w:val="20"/>
    <w:unhideWhenUsed/>
    <w:qFormat/>
    <w:pPr>
      <w:keepNext/>
      <w:keepLines/>
      <w:spacing w:before="260" w:after="260" w:line="416" w:lineRule="auto"/>
      <w:outlineLvl w:val="1"/>
    </w:pPr>
    <w:rPr>
      <w:rFonts w:ascii="Arial" w:eastAsia="黑体" w:hAnsi="Arial"/>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qFormat/>
    <w:rPr>
      <w:rFonts w:ascii="宋体"/>
      <w:sz w:val="18"/>
      <w:szCs w:val="18"/>
    </w:rPr>
  </w:style>
  <w:style w:type="paragraph" w:styleId="a5">
    <w:name w:val="annotation text"/>
    <w:basedOn w:val="a"/>
    <w:link w:val="a6"/>
    <w:uiPriority w:val="99"/>
    <w:semiHidden/>
    <w:unhideWhenUsed/>
    <w:qFormat/>
    <w:pPr>
      <w:jc w:val="left"/>
    </w:pPr>
  </w:style>
  <w:style w:type="paragraph" w:styleId="a7">
    <w:name w:val="Body Text Indent"/>
    <w:basedOn w:val="a"/>
    <w:pPr>
      <w:ind w:firstLineChars="196" w:firstLine="412"/>
    </w:pPr>
    <w:rPr>
      <w:bCs/>
    </w:rPr>
  </w:style>
  <w:style w:type="paragraph" w:styleId="a8">
    <w:name w:val="Date"/>
    <w:basedOn w:val="a"/>
    <w:next w:val="a"/>
    <w:pPr>
      <w:ind w:leftChars="2500" w:left="100"/>
    </w:pPr>
    <w:rPr>
      <w:rFonts w:eastAsia="华文楷体"/>
      <w:sz w:val="28"/>
    </w:rPr>
  </w:style>
  <w:style w:type="paragraph" w:styleId="21">
    <w:name w:val="Body Text Indent 2"/>
    <w:basedOn w:val="a"/>
    <w:qFormat/>
    <w:pPr>
      <w:ind w:leftChars="4" w:left="8" w:firstLineChars="200" w:firstLine="420"/>
    </w:pPr>
    <w:rPr>
      <w:rFonts w:ascii="宋体" w:hAnsi="宋体"/>
      <w:szCs w:val="21"/>
    </w:rPr>
  </w:style>
  <w:style w:type="paragraph" w:styleId="a9">
    <w:name w:val="Balloon Text"/>
    <w:basedOn w:val="a"/>
    <w:qFormat/>
    <w:rPr>
      <w:sz w:val="18"/>
      <w:szCs w:val="18"/>
    </w:rPr>
  </w:style>
  <w:style w:type="paragraph" w:styleId="aa">
    <w:name w:val="footer"/>
    <w:basedOn w:val="a"/>
    <w:pPr>
      <w:tabs>
        <w:tab w:val="center" w:pos="4153"/>
        <w:tab w:val="right" w:pos="8306"/>
      </w:tabs>
      <w:jc w:val="left"/>
    </w:pPr>
    <w:rPr>
      <w:sz w:val="18"/>
      <w:szCs w:val="18"/>
    </w:rPr>
  </w:style>
  <w:style w:type="paragraph" w:styleId="ab">
    <w:name w:val="header"/>
    <w:basedOn w:val="a"/>
    <w:pPr>
      <w:pBdr>
        <w:bottom w:val="single" w:sz="6" w:space="1" w:color="000000"/>
      </w:pBdr>
      <w:tabs>
        <w:tab w:val="center" w:pos="4153"/>
        <w:tab w:val="right" w:pos="8306"/>
      </w:tabs>
      <w:jc w:val="center"/>
    </w:pPr>
    <w:rPr>
      <w:sz w:val="18"/>
      <w:szCs w:val="18"/>
    </w:rPr>
  </w:style>
  <w:style w:type="paragraph" w:styleId="3">
    <w:name w:val="Body Text Indent 3"/>
    <w:basedOn w:val="a"/>
    <w:pPr>
      <w:ind w:leftChars="342" w:left="718"/>
    </w:pPr>
  </w:style>
  <w:style w:type="paragraph" w:styleId="ac">
    <w:name w:val="Normal (Web)"/>
    <w:basedOn w:val="a"/>
    <w:uiPriority w:val="99"/>
    <w:qFormat/>
    <w:pPr>
      <w:widowControl/>
      <w:spacing w:before="100" w:beforeAutospacing="1" w:after="100" w:afterAutospacing="1"/>
      <w:jc w:val="left"/>
    </w:pPr>
    <w:rPr>
      <w:rFonts w:ascii="宋体" w:hAnsi="宋体" w:cs="宋体"/>
      <w:kern w:val="0"/>
      <w:sz w:val="24"/>
    </w:rPr>
  </w:style>
  <w:style w:type="paragraph" w:styleId="ad">
    <w:name w:val="annotation subject"/>
    <w:basedOn w:val="a5"/>
    <w:next w:val="a5"/>
    <w:link w:val="ae"/>
    <w:uiPriority w:val="99"/>
    <w:semiHidden/>
    <w:unhideWhenUsed/>
    <w:qFormat/>
    <w:rPr>
      <w:b/>
      <w:bCs/>
    </w:rPr>
  </w:style>
  <w:style w:type="table" w:styleId="af">
    <w:name w:val="Table Grid"/>
    <w:basedOn w:val="a1"/>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0">
    <w:name w:val="Strong"/>
    <w:qFormat/>
    <w:rPr>
      <w:b/>
      <w:bCs/>
    </w:rPr>
  </w:style>
  <w:style w:type="character" w:styleId="af1">
    <w:name w:val="page number"/>
    <w:basedOn w:val="a0"/>
    <w:qFormat/>
  </w:style>
  <w:style w:type="character" w:styleId="af2">
    <w:name w:val="Hyperlink"/>
    <w:qFormat/>
    <w:rPr>
      <w:color w:val="333333"/>
      <w:u w:val="none"/>
    </w:rPr>
  </w:style>
  <w:style w:type="character" w:styleId="af3">
    <w:name w:val="annotation reference"/>
    <w:uiPriority w:val="99"/>
    <w:semiHidden/>
    <w:unhideWhenUsed/>
    <w:rPr>
      <w:sz w:val="21"/>
      <w:szCs w:val="21"/>
    </w:rPr>
  </w:style>
  <w:style w:type="character" w:customStyle="1" w:styleId="GB2312Char">
    <w:name w:val="样式 正文缩进 + 仿宋_GB2312 Char"/>
    <w:qFormat/>
    <w:rPr>
      <w:rFonts w:ascii="仿宋_GB2312" w:eastAsia="仿宋_GB2312" w:hAnsi="仿宋_GB2312"/>
      <w:kern w:val="2"/>
      <w:sz w:val="28"/>
      <w:szCs w:val="24"/>
      <w:lang w:val="en-US" w:eastAsia="zh-CN" w:bidi="ar-SA"/>
    </w:rPr>
  </w:style>
  <w:style w:type="character" w:customStyle="1" w:styleId="CharChar1">
    <w:name w:val="Char Char1"/>
    <w:qFormat/>
    <w:rPr>
      <w:kern w:val="2"/>
      <w:sz w:val="18"/>
      <w:szCs w:val="18"/>
    </w:rPr>
  </w:style>
  <w:style w:type="character" w:customStyle="1" w:styleId="style31">
    <w:name w:val="style31"/>
    <w:qFormat/>
    <w:rPr>
      <w:color w:val="000000"/>
    </w:rPr>
  </w:style>
  <w:style w:type="character" w:customStyle="1" w:styleId="a4">
    <w:name w:val="文档结构图 字符"/>
    <w:link w:val="a3"/>
    <w:qFormat/>
    <w:rPr>
      <w:rFonts w:ascii="宋体"/>
      <w:kern w:val="2"/>
      <w:sz w:val="18"/>
      <w:szCs w:val="18"/>
    </w:rPr>
  </w:style>
  <w:style w:type="character" w:customStyle="1" w:styleId="CharChar">
    <w:name w:val="Char Char"/>
    <w:qFormat/>
    <w:rPr>
      <w:kern w:val="2"/>
      <w:sz w:val="18"/>
      <w:szCs w:val="18"/>
    </w:rPr>
  </w:style>
  <w:style w:type="character" w:customStyle="1" w:styleId="20">
    <w:name w:val="标题 2 字符"/>
    <w:link w:val="2"/>
    <w:rPr>
      <w:rFonts w:ascii="Arial" w:eastAsia="黑体" w:hAnsi="Arial"/>
      <w:b/>
      <w:bCs/>
      <w:kern w:val="2"/>
      <w:sz w:val="32"/>
      <w:szCs w:val="32"/>
    </w:rPr>
  </w:style>
  <w:style w:type="paragraph" w:customStyle="1" w:styleId="TimesNewRoman14050">
    <w:name w:val="样式 样式 表格标题 + Times New Roman 行距: 多倍行距 1.4 字行 + 段前: 0.5 行 段后: 0...."/>
    <w:basedOn w:val="a"/>
    <w:qFormat/>
    <w:pPr>
      <w:spacing w:before="120" w:after="120"/>
      <w:jc w:val="center"/>
    </w:pPr>
    <w:rPr>
      <w:rFonts w:eastAsia="黑体" w:cs="宋体"/>
      <w:sz w:val="24"/>
      <w:szCs w:val="20"/>
    </w:rPr>
  </w:style>
  <w:style w:type="character" w:customStyle="1" w:styleId="a6">
    <w:name w:val="批注文字 字符"/>
    <w:link w:val="a5"/>
    <w:uiPriority w:val="99"/>
    <w:semiHidden/>
    <w:rPr>
      <w:kern w:val="2"/>
      <w:sz w:val="21"/>
      <w:szCs w:val="24"/>
    </w:rPr>
  </w:style>
  <w:style w:type="character" w:customStyle="1" w:styleId="ae">
    <w:name w:val="批注主题 字符"/>
    <w:link w:val="ad"/>
    <w:uiPriority w:val="99"/>
    <w:semiHidden/>
    <w:qFormat/>
    <w:rPr>
      <w:b/>
      <w:bCs/>
      <w:kern w:val="2"/>
      <w:sz w:val="21"/>
      <w:szCs w:val="24"/>
    </w:rPr>
  </w:style>
  <w:style w:type="paragraph" w:customStyle="1" w:styleId="1">
    <w:name w:val="修订1"/>
    <w:hidden/>
    <w:uiPriority w:val="99"/>
    <w:unhideWhenUsed/>
    <w:rPr>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image" Target="media/image7.jpeg"/><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jpeg"/><Relationship Id="rId5" Type="http://schemas.openxmlformats.org/officeDocument/2006/relationships/endnotes" Target="endnotes.xml"/><Relationship Id="rId15" Type="http://schemas.openxmlformats.org/officeDocument/2006/relationships/footer" Target="footer2.xml"/><Relationship Id="rId10" Type="http://schemas.openxmlformats.org/officeDocument/2006/relationships/image" Target="media/image5.jpeg"/><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241</TotalTime>
  <Pages>17</Pages>
  <Words>2017</Words>
  <Characters>11503</Characters>
  <Application>Microsoft Office Word</Application>
  <DocSecurity>0</DocSecurity>
  <Lines>95</Lines>
  <Paragraphs>26</Paragraphs>
  <ScaleCrop>false</ScaleCrop>
  <Company/>
  <LinksUpToDate>false</LinksUpToDate>
  <CharactersWithSpaces>13494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lgy</dc:creator>
  <cp:lastModifiedBy>思凡 翟</cp:lastModifiedBy>
  <cp:revision>23</cp:revision>
  <dcterms:created xsi:type="dcterms:W3CDTF">2024-11-07T06:37:00Z</dcterms:created>
  <dcterms:modified xsi:type="dcterms:W3CDTF">2024-11-12T03:43:00Z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2052-12.1.0.18345</vt:lpwstr>
  </property>
  <property fmtid="{D5CDD505-2E9C-101B-9397-08002B2CF9AE}" pid="3" name="ICV">
    <vt:lpwstr>43F50132EEE143DAB7652A26FA9696B6_13</vt:lpwstr>
  </property>
</Properties>
</file>